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2CB2E" w14:textId="77777777" w:rsidR="00C64B1B" w:rsidRPr="001F1937" w:rsidRDefault="00C64B1B" w:rsidP="00C64B1B">
      <w:pPr>
        <w:jc w:val="center"/>
        <w:rPr>
          <w:rFonts w:asciiTheme="minorHAnsi" w:hAnsiTheme="minorHAnsi" w:cstheme="minorHAnsi"/>
          <w:sz w:val="22"/>
          <w:szCs w:val="22"/>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1F1937" w14:paraId="0016E291" w14:textId="77777777" w:rsidTr="00A06425">
        <w:tc>
          <w:tcPr>
            <w:tcW w:w="15388" w:type="dxa"/>
            <w:gridSpan w:val="6"/>
            <w:shd w:val="clear" w:color="auto" w:fill="auto"/>
            <w:vAlign w:val="center"/>
          </w:tcPr>
          <w:p w14:paraId="08996726" w14:textId="4E4FB364" w:rsidR="005C5CAF" w:rsidRPr="001F1937" w:rsidRDefault="00A06425" w:rsidP="00733E8B">
            <w:pPr>
              <w:rPr>
                <w:rFonts w:asciiTheme="minorHAnsi" w:hAnsiTheme="minorHAnsi" w:cstheme="minorHAnsi"/>
                <w:sz w:val="22"/>
                <w:szCs w:val="22"/>
              </w:rPr>
            </w:pPr>
            <w:r w:rsidRPr="00DE373C">
              <w:rPr>
                <w:rFonts w:asciiTheme="minorHAnsi" w:hAnsiTheme="minorHAnsi" w:cstheme="minorHAnsi"/>
                <w:b/>
                <w:sz w:val="22"/>
                <w:szCs w:val="22"/>
              </w:rPr>
              <w:t>Nazwa dokumentu:</w:t>
            </w:r>
            <w:r w:rsidR="00645C6B" w:rsidRPr="001F1937">
              <w:rPr>
                <w:rFonts w:asciiTheme="minorHAnsi" w:hAnsiTheme="minorHAnsi" w:cstheme="minorHAnsi"/>
                <w:sz w:val="22"/>
                <w:szCs w:val="22"/>
              </w:rPr>
              <w:t xml:space="preserve"> projekt uchwały Rady Ministrów w sprawie przyjęcia projektu programu „Fundusze Europejskie na Rozwój Cyfrowy 2021–2027”</w:t>
            </w:r>
            <w:r w:rsidR="00733E8B">
              <w:rPr>
                <w:rFonts w:asciiTheme="minorHAnsi" w:hAnsiTheme="minorHAnsi" w:cstheme="minorHAnsi"/>
                <w:sz w:val="22"/>
                <w:szCs w:val="22"/>
              </w:rPr>
              <w:t xml:space="preserve"> - z</w:t>
            </w:r>
            <w:r w:rsidR="005C5CAF">
              <w:rPr>
                <w:rFonts w:asciiTheme="minorHAnsi" w:hAnsiTheme="minorHAnsi" w:cstheme="minorHAnsi"/>
                <w:sz w:val="22"/>
                <w:szCs w:val="22"/>
              </w:rPr>
              <w:t xml:space="preserve">ałącznik do uchwały </w:t>
            </w:r>
            <w:r w:rsidR="00733E8B">
              <w:rPr>
                <w:rFonts w:asciiTheme="minorHAnsi" w:hAnsiTheme="minorHAnsi" w:cstheme="minorHAnsi"/>
                <w:sz w:val="22"/>
                <w:szCs w:val="22"/>
              </w:rPr>
              <w:t>pn. p</w:t>
            </w:r>
            <w:r w:rsidR="005C5CAF" w:rsidRPr="005C5CAF">
              <w:rPr>
                <w:rFonts w:asciiTheme="minorHAnsi" w:hAnsiTheme="minorHAnsi" w:cstheme="minorHAnsi"/>
                <w:sz w:val="22"/>
                <w:szCs w:val="22"/>
              </w:rPr>
              <w:t>rojekt programu „Fundusze Europejsk</w:t>
            </w:r>
            <w:r w:rsidR="005C5CAF">
              <w:rPr>
                <w:rFonts w:asciiTheme="minorHAnsi" w:hAnsiTheme="minorHAnsi" w:cstheme="minorHAnsi"/>
                <w:sz w:val="22"/>
                <w:szCs w:val="22"/>
              </w:rPr>
              <w:t>ie na Rozwój Cyfrowy 2021-2027”</w:t>
            </w:r>
          </w:p>
        </w:tc>
      </w:tr>
      <w:tr w:rsidR="00A06425" w:rsidRPr="001F1937" w14:paraId="74348B7F" w14:textId="77777777" w:rsidTr="00A06425">
        <w:tc>
          <w:tcPr>
            <w:tcW w:w="562" w:type="dxa"/>
            <w:shd w:val="clear" w:color="auto" w:fill="auto"/>
            <w:vAlign w:val="center"/>
          </w:tcPr>
          <w:p w14:paraId="08FE8C47" w14:textId="77777777" w:rsidR="00A06425" w:rsidRPr="001F1937" w:rsidRDefault="00A06425" w:rsidP="004D086F">
            <w:pPr>
              <w:jc w:val="center"/>
              <w:rPr>
                <w:rFonts w:asciiTheme="minorHAnsi" w:hAnsiTheme="minorHAnsi" w:cstheme="minorHAnsi"/>
                <w:b/>
                <w:sz w:val="22"/>
                <w:szCs w:val="22"/>
              </w:rPr>
            </w:pPr>
            <w:r w:rsidRPr="001F1937">
              <w:rPr>
                <w:rFonts w:asciiTheme="minorHAnsi" w:hAnsiTheme="minorHAnsi" w:cstheme="minorHAnsi"/>
                <w:b/>
                <w:sz w:val="22"/>
                <w:szCs w:val="22"/>
              </w:rPr>
              <w:t>Lp.</w:t>
            </w:r>
          </w:p>
        </w:tc>
        <w:tc>
          <w:tcPr>
            <w:tcW w:w="1134" w:type="dxa"/>
            <w:shd w:val="clear" w:color="auto" w:fill="auto"/>
            <w:vAlign w:val="center"/>
          </w:tcPr>
          <w:p w14:paraId="28582ABB" w14:textId="77777777" w:rsidR="00A06425" w:rsidRPr="001F1937" w:rsidRDefault="00A06425" w:rsidP="004D086F">
            <w:pPr>
              <w:jc w:val="center"/>
              <w:rPr>
                <w:rFonts w:asciiTheme="minorHAnsi" w:hAnsiTheme="minorHAnsi" w:cstheme="minorHAnsi"/>
                <w:b/>
                <w:sz w:val="22"/>
                <w:szCs w:val="22"/>
              </w:rPr>
            </w:pPr>
            <w:r w:rsidRPr="001F1937">
              <w:rPr>
                <w:rFonts w:asciiTheme="minorHAnsi" w:hAnsiTheme="minorHAnsi" w:cstheme="minorHAnsi"/>
                <w:b/>
                <w:sz w:val="22"/>
                <w:szCs w:val="22"/>
              </w:rPr>
              <w:t>Organ wnoszący uwagi</w:t>
            </w:r>
          </w:p>
        </w:tc>
        <w:tc>
          <w:tcPr>
            <w:tcW w:w="1843" w:type="dxa"/>
            <w:shd w:val="clear" w:color="auto" w:fill="auto"/>
            <w:vAlign w:val="center"/>
          </w:tcPr>
          <w:p w14:paraId="596C0C23" w14:textId="77777777" w:rsidR="00A06425" w:rsidRPr="001F1937" w:rsidRDefault="00A06425" w:rsidP="004D086F">
            <w:pPr>
              <w:jc w:val="center"/>
              <w:rPr>
                <w:rFonts w:asciiTheme="minorHAnsi" w:hAnsiTheme="minorHAnsi" w:cstheme="minorHAnsi"/>
                <w:b/>
                <w:sz w:val="22"/>
                <w:szCs w:val="22"/>
              </w:rPr>
            </w:pPr>
            <w:r w:rsidRPr="001F1937">
              <w:rPr>
                <w:rFonts w:asciiTheme="minorHAnsi" w:hAnsiTheme="minorHAnsi" w:cstheme="minorHAnsi"/>
                <w:b/>
                <w:sz w:val="22"/>
                <w:szCs w:val="22"/>
              </w:rPr>
              <w:t>Jednostka redakcyjna, do której wnoszone są uwagi</w:t>
            </w:r>
          </w:p>
        </w:tc>
        <w:tc>
          <w:tcPr>
            <w:tcW w:w="4678" w:type="dxa"/>
            <w:shd w:val="clear" w:color="auto" w:fill="auto"/>
            <w:vAlign w:val="center"/>
          </w:tcPr>
          <w:p w14:paraId="211A77EE" w14:textId="77777777" w:rsidR="00A06425" w:rsidRPr="001F1937" w:rsidRDefault="00A06425" w:rsidP="004D086F">
            <w:pPr>
              <w:jc w:val="center"/>
              <w:rPr>
                <w:rFonts w:asciiTheme="minorHAnsi" w:hAnsiTheme="minorHAnsi" w:cstheme="minorHAnsi"/>
                <w:b/>
                <w:sz w:val="22"/>
                <w:szCs w:val="22"/>
              </w:rPr>
            </w:pPr>
            <w:r w:rsidRPr="001F1937">
              <w:rPr>
                <w:rFonts w:asciiTheme="minorHAnsi" w:hAnsiTheme="minorHAnsi" w:cstheme="minorHAnsi"/>
                <w:b/>
                <w:sz w:val="22"/>
                <w:szCs w:val="22"/>
              </w:rPr>
              <w:t>Treść uwagi</w:t>
            </w:r>
          </w:p>
        </w:tc>
        <w:tc>
          <w:tcPr>
            <w:tcW w:w="5812" w:type="dxa"/>
            <w:shd w:val="clear" w:color="auto" w:fill="auto"/>
            <w:vAlign w:val="center"/>
          </w:tcPr>
          <w:p w14:paraId="0F779771" w14:textId="77777777" w:rsidR="00A06425" w:rsidRPr="001F1937" w:rsidRDefault="00A06425" w:rsidP="004D086F">
            <w:pPr>
              <w:jc w:val="center"/>
              <w:rPr>
                <w:rFonts w:asciiTheme="minorHAnsi" w:hAnsiTheme="minorHAnsi" w:cstheme="minorHAnsi"/>
                <w:b/>
                <w:sz w:val="22"/>
                <w:szCs w:val="22"/>
              </w:rPr>
            </w:pPr>
            <w:r w:rsidRPr="001F1937">
              <w:rPr>
                <w:rFonts w:asciiTheme="minorHAnsi" w:hAnsiTheme="minorHAnsi" w:cstheme="minorHAnsi"/>
                <w:b/>
                <w:sz w:val="22"/>
                <w:szCs w:val="22"/>
              </w:rPr>
              <w:t>Propozycja zmian zapisu</w:t>
            </w:r>
          </w:p>
        </w:tc>
        <w:tc>
          <w:tcPr>
            <w:tcW w:w="1359" w:type="dxa"/>
            <w:vAlign w:val="center"/>
          </w:tcPr>
          <w:p w14:paraId="79F98371" w14:textId="77777777" w:rsidR="00A06425" w:rsidRPr="001F1937" w:rsidRDefault="00A06425" w:rsidP="00A06425">
            <w:pPr>
              <w:jc w:val="center"/>
              <w:rPr>
                <w:rFonts w:asciiTheme="minorHAnsi" w:hAnsiTheme="minorHAnsi" w:cstheme="minorHAnsi"/>
                <w:b/>
                <w:sz w:val="22"/>
                <w:szCs w:val="22"/>
              </w:rPr>
            </w:pPr>
            <w:r w:rsidRPr="001F1937">
              <w:rPr>
                <w:rFonts w:asciiTheme="minorHAnsi" w:hAnsiTheme="minorHAnsi" w:cstheme="minorHAnsi"/>
                <w:b/>
                <w:sz w:val="22"/>
                <w:szCs w:val="22"/>
              </w:rPr>
              <w:t>Odniesienie do uwagi</w:t>
            </w:r>
          </w:p>
        </w:tc>
      </w:tr>
      <w:tr w:rsidR="001B72E9" w:rsidRPr="001F1937" w14:paraId="4F7E4E3A" w14:textId="77777777" w:rsidTr="00A06425">
        <w:tc>
          <w:tcPr>
            <w:tcW w:w="562" w:type="dxa"/>
            <w:shd w:val="clear" w:color="auto" w:fill="auto"/>
          </w:tcPr>
          <w:p w14:paraId="1ED8744F" w14:textId="77777777" w:rsidR="001B72E9" w:rsidRPr="001F1937" w:rsidRDefault="001B72E9" w:rsidP="001B72E9">
            <w:pPr>
              <w:spacing w:before="120" w:after="120"/>
              <w:jc w:val="center"/>
              <w:rPr>
                <w:rFonts w:asciiTheme="minorHAnsi" w:hAnsiTheme="minorHAnsi" w:cstheme="minorHAnsi"/>
                <w:b/>
                <w:sz w:val="22"/>
                <w:szCs w:val="22"/>
              </w:rPr>
            </w:pPr>
            <w:r w:rsidRPr="001F1937">
              <w:rPr>
                <w:rFonts w:asciiTheme="minorHAnsi" w:hAnsiTheme="minorHAnsi" w:cstheme="minorHAnsi"/>
                <w:b/>
                <w:sz w:val="22"/>
                <w:szCs w:val="22"/>
              </w:rPr>
              <w:t>1</w:t>
            </w:r>
          </w:p>
        </w:tc>
        <w:tc>
          <w:tcPr>
            <w:tcW w:w="1134" w:type="dxa"/>
            <w:shd w:val="clear" w:color="auto" w:fill="auto"/>
          </w:tcPr>
          <w:p w14:paraId="70F2C733" w14:textId="2EC08650" w:rsidR="001B72E9" w:rsidRPr="001F1937" w:rsidRDefault="0088365C" w:rsidP="001B72E9">
            <w:pP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2CD0DAD3" w14:textId="2AD972C2" w:rsidR="001B72E9" w:rsidRPr="001F1937" w:rsidRDefault="009C426D" w:rsidP="005C5CAF">
            <w:pPr>
              <w:rPr>
                <w:rFonts w:asciiTheme="minorHAnsi" w:hAnsiTheme="minorHAnsi" w:cstheme="minorHAnsi"/>
                <w:sz w:val="22"/>
                <w:szCs w:val="22"/>
              </w:rPr>
            </w:pPr>
            <w:r w:rsidRPr="001F1937">
              <w:rPr>
                <w:rFonts w:asciiTheme="minorHAnsi" w:hAnsiTheme="minorHAnsi" w:cstheme="minorHAnsi"/>
                <w:sz w:val="22"/>
                <w:szCs w:val="22"/>
              </w:rPr>
              <w:t>Wnioski w zakresie rozwoju e-usług administracji i e-zdrowia</w:t>
            </w:r>
            <w:r>
              <w:rPr>
                <w:rFonts w:asciiTheme="minorHAnsi" w:hAnsiTheme="minorHAnsi" w:cstheme="minorHAnsi"/>
                <w:sz w:val="22"/>
                <w:szCs w:val="22"/>
              </w:rPr>
              <w:t>, s</w:t>
            </w:r>
            <w:r w:rsidRPr="001F1937">
              <w:rPr>
                <w:rFonts w:asciiTheme="minorHAnsi" w:hAnsiTheme="minorHAnsi" w:cstheme="minorHAnsi"/>
                <w:sz w:val="22"/>
                <w:szCs w:val="22"/>
              </w:rPr>
              <w:t>tr. 7</w:t>
            </w:r>
          </w:p>
        </w:tc>
        <w:tc>
          <w:tcPr>
            <w:tcW w:w="4678" w:type="dxa"/>
            <w:shd w:val="clear" w:color="auto" w:fill="auto"/>
          </w:tcPr>
          <w:p w14:paraId="6367AEAF" w14:textId="2DE468C7" w:rsidR="00F619D7" w:rsidRDefault="005C5CAF" w:rsidP="009C426D">
            <w:pPr>
              <w:rPr>
                <w:rFonts w:asciiTheme="minorHAnsi" w:hAnsiTheme="minorHAnsi" w:cstheme="minorHAnsi"/>
                <w:sz w:val="22"/>
                <w:szCs w:val="22"/>
              </w:rPr>
            </w:pPr>
            <w:r>
              <w:rPr>
                <w:rFonts w:asciiTheme="minorHAnsi" w:hAnsiTheme="minorHAnsi" w:cstheme="minorHAnsi"/>
                <w:sz w:val="22"/>
                <w:szCs w:val="22"/>
              </w:rPr>
              <w:t>Na str. 7</w:t>
            </w:r>
            <w:r w:rsidR="001B72E9" w:rsidRPr="001F1937">
              <w:rPr>
                <w:rFonts w:asciiTheme="minorHAnsi" w:hAnsiTheme="minorHAnsi" w:cstheme="minorHAnsi"/>
                <w:sz w:val="22"/>
                <w:szCs w:val="22"/>
              </w:rPr>
              <w:t xml:space="preserve"> wskazano: „Brak stacjonarnej infrastruktury szerokopasmowej dotyczy w głównej mierze obszarów wiejskich o niskiej lub bardzo niskiej gęstości zaludnienia oraz rozproszonej zabudowie. Pomimo intensywnych zachęt państwa i jednostek samorządu terytorialnego, inwestycje komercyjne w rozwój nowoczesnej infrastruktury telekomunikacyjnej na tych obszarach są dla przedsiębiorców telekomunikacyjnych nieopłacalne ze względu na wysokie koszty utrzymania przekraczające możliwe do uzyskania przychody ze świadczonych usług.”.</w:t>
            </w:r>
          </w:p>
          <w:p w14:paraId="1BA56E35" w14:textId="77777777" w:rsidR="001A2E8B" w:rsidRPr="001F1937" w:rsidRDefault="001A2E8B" w:rsidP="009C426D">
            <w:pPr>
              <w:rPr>
                <w:rFonts w:asciiTheme="minorHAnsi" w:hAnsiTheme="minorHAnsi" w:cstheme="minorHAnsi"/>
                <w:sz w:val="22"/>
                <w:szCs w:val="22"/>
              </w:rPr>
            </w:pPr>
            <w:r w:rsidRPr="001A2E8B">
              <w:rPr>
                <w:rFonts w:asciiTheme="minorHAnsi" w:hAnsiTheme="minorHAnsi" w:cstheme="minorHAnsi"/>
                <w:sz w:val="22"/>
                <w:szCs w:val="22"/>
              </w:rPr>
              <w:t>Przedstawiona diagnoza jest jak najbardziej słuszna, jednakże mając na uwadze, że służyć ma ona uzasadnieniu konkretnego ukierunkowania wsparcia ze środków Programu proponuje się wskazać, zgodnie z roboczymi ustaleniami, że wsparcie z Programu dotyczyć będzie białych plam in generali. Proponuje się zatem odejście od ograniczenia zaproponowanego wspierania inwestycji z Programu w szczególności obszarów wiejskich o niskiej lub bardzo niskiej gęstości zaludnienia, tak aby maksymalnie wykorzystać alokację Programu na likwidację białych plam na obszarze całego kraju. W ten sposób zapewniona zostanie maksymalna elastyczność w modelowaniu przyszłych konkursów z FERC.</w:t>
            </w:r>
          </w:p>
        </w:tc>
        <w:tc>
          <w:tcPr>
            <w:tcW w:w="5812" w:type="dxa"/>
            <w:shd w:val="clear" w:color="auto" w:fill="auto"/>
          </w:tcPr>
          <w:p w14:paraId="5CACC3A7" w14:textId="77777777" w:rsidR="005F1DC4" w:rsidRDefault="005F1DC4" w:rsidP="001B72E9">
            <w:pPr>
              <w:rPr>
                <w:rFonts w:asciiTheme="minorHAnsi" w:hAnsiTheme="minorHAnsi" w:cstheme="minorHAnsi"/>
                <w:sz w:val="22"/>
                <w:szCs w:val="22"/>
              </w:rPr>
            </w:pPr>
            <w:r>
              <w:rPr>
                <w:rFonts w:asciiTheme="minorHAnsi" w:hAnsiTheme="minorHAnsi" w:cstheme="minorHAnsi"/>
                <w:sz w:val="22"/>
                <w:szCs w:val="22"/>
              </w:rPr>
              <w:t>Proponuje się poniższe brzmienie:</w:t>
            </w:r>
          </w:p>
          <w:p w14:paraId="348199AF" w14:textId="231AF81A" w:rsidR="001B72E9" w:rsidRPr="001F1937" w:rsidRDefault="001A2E8B" w:rsidP="001B72E9">
            <w:pPr>
              <w:rPr>
                <w:rFonts w:asciiTheme="minorHAnsi" w:hAnsiTheme="minorHAnsi" w:cstheme="minorHAnsi"/>
                <w:sz w:val="22"/>
                <w:szCs w:val="22"/>
              </w:rPr>
            </w:pPr>
            <w:r w:rsidRPr="001A2E8B">
              <w:rPr>
                <w:rFonts w:asciiTheme="minorHAnsi" w:hAnsiTheme="minorHAnsi" w:cstheme="minorHAnsi"/>
                <w:sz w:val="22"/>
                <w:szCs w:val="22"/>
              </w:rPr>
              <w:t>„Brak stacjonarnej infrastruktury szerokopasmowej dotyczy, choć niejednolicie, obszaru całej Polski. Najmniejsze nasycenie sieciami szerokopasmowymi dotyczy obszarów wiejskich o niskiej lub bardzo niskiej gęstości zaludnienia oraz rozproszonej zabudowie. Jednakże liczba miejsc bez dostępu do sieci szerokopasmowej nie ogranicza się w Polsce jedynie do tego typu obszarów. Pomimo intensywnych zachęt państwa i jednostek samorządu terytorialnego, wciąż wiele punktów adresowych – m.in. ze względu na wysokie koszty utrzymania, jak i wciąż rosnące koszty inwestycyjne ponoszone przez beneficjentów wsparcia (np. koszty podwykonawców) – nie zostało objętych zasięgiem sieci szerokopasmowej. Koszty budowy sieci, nawet z uzyskanym wsparciem ze środków UE, wciąż przekraczają możliwe do uzyskania przychody ze świadczonych usług.”.</w:t>
            </w:r>
          </w:p>
        </w:tc>
        <w:tc>
          <w:tcPr>
            <w:tcW w:w="1359" w:type="dxa"/>
          </w:tcPr>
          <w:p w14:paraId="6AF18B6A" w14:textId="77777777" w:rsidR="001B72E9" w:rsidRPr="001F1937" w:rsidRDefault="001B72E9" w:rsidP="001B72E9">
            <w:pPr>
              <w:jc w:val="center"/>
              <w:rPr>
                <w:rFonts w:asciiTheme="minorHAnsi" w:hAnsiTheme="minorHAnsi" w:cstheme="minorHAnsi"/>
                <w:sz w:val="22"/>
                <w:szCs w:val="22"/>
              </w:rPr>
            </w:pPr>
          </w:p>
        </w:tc>
      </w:tr>
      <w:tr w:rsidR="00F619D7" w:rsidRPr="001F1937" w14:paraId="1F9E7B7C" w14:textId="77777777" w:rsidTr="00A06425">
        <w:tc>
          <w:tcPr>
            <w:tcW w:w="562" w:type="dxa"/>
            <w:shd w:val="clear" w:color="auto" w:fill="auto"/>
          </w:tcPr>
          <w:p w14:paraId="3B8BF67D" w14:textId="6ADABF13" w:rsidR="00F619D7" w:rsidRPr="001F1937" w:rsidRDefault="00F619D7" w:rsidP="00F619D7">
            <w:pPr>
              <w:spacing w:before="120" w:after="120"/>
              <w:jc w:val="center"/>
              <w:rPr>
                <w:rFonts w:asciiTheme="minorHAnsi" w:hAnsiTheme="minorHAnsi" w:cstheme="minorHAnsi"/>
                <w:b/>
                <w:sz w:val="22"/>
                <w:szCs w:val="22"/>
              </w:rPr>
            </w:pPr>
            <w:r w:rsidRPr="001F1937">
              <w:rPr>
                <w:rFonts w:asciiTheme="minorHAnsi" w:hAnsiTheme="minorHAnsi" w:cstheme="minorHAnsi"/>
                <w:b/>
                <w:sz w:val="22"/>
                <w:szCs w:val="22"/>
              </w:rPr>
              <w:t>2</w:t>
            </w:r>
          </w:p>
        </w:tc>
        <w:tc>
          <w:tcPr>
            <w:tcW w:w="1134" w:type="dxa"/>
            <w:shd w:val="clear" w:color="auto" w:fill="auto"/>
          </w:tcPr>
          <w:p w14:paraId="037BF713" w14:textId="396F2DF8" w:rsidR="00F619D7" w:rsidRPr="0039143F" w:rsidRDefault="00F619D7" w:rsidP="00F619D7">
            <w:pPr>
              <w:rPr>
                <w:rFonts w:asciiTheme="minorHAnsi" w:hAnsiTheme="minorHAnsi" w:cstheme="minorHAnsi"/>
                <w:b/>
                <w:sz w:val="22"/>
                <w:szCs w:val="22"/>
              </w:rPr>
            </w:pPr>
            <w:r w:rsidRPr="0039143F">
              <w:rPr>
                <w:rFonts w:asciiTheme="minorHAnsi" w:hAnsiTheme="minorHAnsi" w:cstheme="minorHAnsi"/>
                <w:b/>
                <w:sz w:val="22"/>
                <w:szCs w:val="22"/>
              </w:rPr>
              <w:t>MC</w:t>
            </w:r>
          </w:p>
        </w:tc>
        <w:tc>
          <w:tcPr>
            <w:tcW w:w="1843" w:type="dxa"/>
            <w:shd w:val="clear" w:color="auto" w:fill="auto"/>
          </w:tcPr>
          <w:p w14:paraId="45C24954" w14:textId="77777777" w:rsidR="00F619D7" w:rsidRPr="001F1937" w:rsidRDefault="00F619D7" w:rsidP="00F619D7">
            <w:pPr>
              <w:rPr>
                <w:rFonts w:asciiTheme="minorHAnsi" w:hAnsiTheme="minorHAnsi" w:cstheme="minorHAnsi"/>
                <w:sz w:val="22"/>
                <w:szCs w:val="22"/>
              </w:rPr>
            </w:pPr>
            <w:r w:rsidRPr="001F1937">
              <w:rPr>
                <w:rFonts w:asciiTheme="minorHAnsi" w:hAnsiTheme="minorHAnsi" w:cstheme="minorHAnsi"/>
                <w:sz w:val="22"/>
                <w:szCs w:val="22"/>
              </w:rPr>
              <w:t xml:space="preserve">Wnioski w zakresie rozwoju e-usług </w:t>
            </w:r>
            <w:r w:rsidRPr="001F1937">
              <w:rPr>
                <w:rFonts w:asciiTheme="minorHAnsi" w:hAnsiTheme="minorHAnsi" w:cstheme="minorHAnsi"/>
                <w:sz w:val="22"/>
                <w:szCs w:val="22"/>
              </w:rPr>
              <w:lastRenderedPageBreak/>
              <w:t>administracji i e-zdrowia</w:t>
            </w:r>
            <w:r w:rsidR="009C426D">
              <w:rPr>
                <w:rFonts w:asciiTheme="minorHAnsi" w:hAnsiTheme="minorHAnsi" w:cstheme="minorHAnsi"/>
                <w:sz w:val="22"/>
                <w:szCs w:val="22"/>
              </w:rPr>
              <w:t xml:space="preserve">, </w:t>
            </w:r>
            <w:r w:rsidR="009C426D" w:rsidRPr="001F1937">
              <w:rPr>
                <w:rFonts w:asciiTheme="minorHAnsi" w:hAnsiTheme="minorHAnsi" w:cstheme="minorHAnsi"/>
                <w:sz w:val="22"/>
                <w:szCs w:val="22"/>
              </w:rPr>
              <w:t>Str. 7</w:t>
            </w:r>
          </w:p>
        </w:tc>
        <w:tc>
          <w:tcPr>
            <w:tcW w:w="4678" w:type="dxa"/>
            <w:shd w:val="clear" w:color="auto" w:fill="auto"/>
          </w:tcPr>
          <w:p w14:paraId="4983E28C" w14:textId="77777777" w:rsidR="00F619D7" w:rsidRPr="001F1937" w:rsidRDefault="00F619D7" w:rsidP="00F619D7">
            <w:pPr>
              <w:rPr>
                <w:rFonts w:asciiTheme="minorHAnsi" w:hAnsiTheme="minorHAnsi" w:cstheme="minorHAnsi"/>
                <w:sz w:val="22"/>
                <w:szCs w:val="22"/>
              </w:rPr>
            </w:pPr>
            <w:r w:rsidRPr="001F1937">
              <w:rPr>
                <w:rFonts w:asciiTheme="minorHAnsi" w:hAnsiTheme="minorHAnsi" w:cstheme="minorHAnsi"/>
                <w:sz w:val="22"/>
                <w:szCs w:val="22"/>
              </w:rPr>
              <w:lastRenderedPageBreak/>
              <w:t xml:space="preserve">W pierwszym akapicie powołano się na Raport DESI z 2020 r. Jednak wobec faktu opublikowania raportu DESI na rok 2021 r. proponuje się posługiwanie najnowszym dostępnym raportem: </w:t>
            </w:r>
            <w:r w:rsidRPr="001F1937">
              <w:rPr>
                <w:rFonts w:asciiTheme="minorHAnsi" w:hAnsiTheme="minorHAnsi" w:cstheme="minorHAnsi"/>
                <w:sz w:val="22"/>
                <w:szCs w:val="22"/>
              </w:rPr>
              <w:lastRenderedPageBreak/>
              <w:t xml:space="preserve">https://digital-strategy.ec.europa.eu/en/policies/desi-poland </w:t>
            </w:r>
          </w:p>
        </w:tc>
        <w:tc>
          <w:tcPr>
            <w:tcW w:w="5812" w:type="dxa"/>
            <w:shd w:val="clear" w:color="auto" w:fill="auto"/>
          </w:tcPr>
          <w:p w14:paraId="6396F630" w14:textId="2E59B4BA" w:rsidR="00F619D7" w:rsidRPr="001F1937" w:rsidRDefault="00F619D7" w:rsidP="00F619D7">
            <w:pPr>
              <w:rPr>
                <w:rFonts w:asciiTheme="minorHAnsi" w:hAnsiTheme="minorHAnsi" w:cstheme="minorHAnsi"/>
                <w:sz w:val="22"/>
                <w:szCs w:val="22"/>
              </w:rPr>
            </w:pPr>
          </w:p>
        </w:tc>
        <w:tc>
          <w:tcPr>
            <w:tcW w:w="1359" w:type="dxa"/>
          </w:tcPr>
          <w:p w14:paraId="316F8DC5" w14:textId="77777777" w:rsidR="00F619D7" w:rsidRPr="001F1937" w:rsidRDefault="00F619D7" w:rsidP="00F619D7">
            <w:pPr>
              <w:jc w:val="center"/>
              <w:rPr>
                <w:rFonts w:asciiTheme="minorHAnsi" w:hAnsiTheme="minorHAnsi" w:cstheme="minorHAnsi"/>
                <w:sz w:val="22"/>
                <w:szCs w:val="22"/>
              </w:rPr>
            </w:pPr>
          </w:p>
        </w:tc>
      </w:tr>
      <w:tr w:rsidR="00A06425" w:rsidRPr="001F1937" w14:paraId="560EAD28" w14:textId="77777777" w:rsidTr="00A06425">
        <w:tc>
          <w:tcPr>
            <w:tcW w:w="562" w:type="dxa"/>
            <w:shd w:val="clear" w:color="auto" w:fill="auto"/>
          </w:tcPr>
          <w:p w14:paraId="1DF41160" w14:textId="77777777" w:rsidR="00A06425" w:rsidRPr="001F1937" w:rsidRDefault="00F619D7" w:rsidP="00A06425">
            <w:pPr>
              <w:spacing w:before="120" w:after="120"/>
              <w:jc w:val="center"/>
              <w:rPr>
                <w:rFonts w:asciiTheme="minorHAnsi" w:hAnsiTheme="minorHAnsi" w:cstheme="minorHAnsi"/>
                <w:b/>
                <w:sz w:val="22"/>
                <w:szCs w:val="22"/>
              </w:rPr>
            </w:pPr>
            <w:r w:rsidRPr="001F1937">
              <w:rPr>
                <w:rFonts w:asciiTheme="minorHAnsi" w:hAnsiTheme="minorHAnsi" w:cstheme="minorHAnsi"/>
                <w:b/>
                <w:sz w:val="22"/>
                <w:szCs w:val="22"/>
              </w:rPr>
              <w:t>3</w:t>
            </w:r>
          </w:p>
        </w:tc>
        <w:tc>
          <w:tcPr>
            <w:tcW w:w="1134" w:type="dxa"/>
            <w:shd w:val="clear" w:color="auto" w:fill="auto"/>
          </w:tcPr>
          <w:p w14:paraId="374B54BC" w14:textId="77777777" w:rsidR="00A06425" w:rsidRPr="001F1937" w:rsidRDefault="0056207A"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5FFE875D" w14:textId="77777777" w:rsidR="00A06425" w:rsidRPr="001F1937" w:rsidRDefault="00E63190" w:rsidP="0056207A">
            <w:pPr>
              <w:rPr>
                <w:rFonts w:asciiTheme="minorHAnsi" w:hAnsiTheme="minorHAnsi" w:cstheme="minorHAnsi"/>
                <w:sz w:val="22"/>
                <w:szCs w:val="22"/>
              </w:rPr>
            </w:pPr>
            <w:r w:rsidRPr="001F1937">
              <w:rPr>
                <w:rFonts w:asciiTheme="minorHAnsi" w:hAnsiTheme="minorHAnsi" w:cstheme="minorHAnsi"/>
                <w:sz w:val="22"/>
                <w:szCs w:val="22"/>
              </w:rPr>
              <w:t>Wnioski w zakresie rozwoju e-usług administracji i e-zdrowia str. 7</w:t>
            </w:r>
          </w:p>
        </w:tc>
        <w:tc>
          <w:tcPr>
            <w:tcW w:w="4678" w:type="dxa"/>
            <w:shd w:val="clear" w:color="auto" w:fill="auto"/>
          </w:tcPr>
          <w:p w14:paraId="429BD72C" w14:textId="419EBF7B" w:rsidR="00E63190" w:rsidRPr="001F1937" w:rsidRDefault="00E63190" w:rsidP="00E63190">
            <w:pPr>
              <w:rPr>
                <w:rFonts w:asciiTheme="minorHAnsi" w:hAnsiTheme="minorHAnsi" w:cstheme="minorHAnsi"/>
                <w:sz w:val="22"/>
                <w:szCs w:val="22"/>
              </w:rPr>
            </w:pPr>
            <w:r w:rsidRPr="001F1937">
              <w:rPr>
                <w:rFonts w:asciiTheme="minorHAnsi" w:hAnsiTheme="minorHAnsi" w:cstheme="minorHAnsi"/>
                <w:sz w:val="22"/>
                <w:szCs w:val="22"/>
              </w:rPr>
              <w:t xml:space="preserve">Proponuje się aktualizację. W obszarze „Cyfrowych usług publicznych” Polska zajmuje 22 miejsce (55,1 – wynik Polski, 68,1 – średnia unijna) DESI 2021: </w:t>
            </w:r>
            <w:hyperlink r:id="rId7" w:history="1">
              <w:r w:rsidRPr="001F1937">
                <w:rPr>
                  <w:rStyle w:val="Hipercze"/>
                  <w:rFonts w:asciiTheme="minorHAnsi" w:hAnsiTheme="minorHAnsi" w:cstheme="minorHAnsi"/>
                  <w:sz w:val="22"/>
                  <w:szCs w:val="22"/>
                </w:rPr>
                <w:t>https://digital-strategy.ec.europa.eu/en/policies/desi-poland</w:t>
              </w:r>
            </w:hyperlink>
          </w:p>
          <w:p w14:paraId="6F9A8B66" w14:textId="77777777" w:rsidR="00E63190" w:rsidRPr="001F1937" w:rsidRDefault="00E63190" w:rsidP="00E63190">
            <w:pPr>
              <w:rPr>
                <w:rFonts w:asciiTheme="minorHAnsi" w:hAnsiTheme="minorHAnsi" w:cstheme="minorHAnsi"/>
                <w:sz w:val="22"/>
                <w:szCs w:val="22"/>
              </w:rPr>
            </w:pPr>
            <w:r w:rsidRPr="001F1937">
              <w:rPr>
                <w:rFonts w:asciiTheme="minorHAnsi" w:hAnsiTheme="minorHAnsi" w:cstheme="minorHAnsi"/>
                <w:sz w:val="22"/>
                <w:szCs w:val="22"/>
              </w:rPr>
              <w:t>Sugeruje się aktualizację danych. Zgodnie z informacją sygnalną GUS nt. społeczeństwa informacyjnego odsetek osób korzystających z Internetu w kontaktach z administracją publiczną wynosił 47,5 % w 2021</w:t>
            </w:r>
          </w:p>
          <w:p w14:paraId="16E2AEC9" w14:textId="77777777" w:rsidR="00E63190" w:rsidRPr="001F1937" w:rsidRDefault="00E63190" w:rsidP="00E63190">
            <w:pPr>
              <w:rPr>
                <w:rFonts w:asciiTheme="minorHAnsi" w:hAnsiTheme="minorHAnsi" w:cstheme="minorHAnsi"/>
                <w:sz w:val="22"/>
                <w:szCs w:val="22"/>
              </w:rPr>
            </w:pPr>
          </w:p>
          <w:p w14:paraId="7978BFBC" w14:textId="1FD3C6B0" w:rsidR="00A06425" w:rsidRPr="001F1937" w:rsidRDefault="00E63190" w:rsidP="00DE373C">
            <w:pPr>
              <w:rPr>
                <w:rFonts w:asciiTheme="minorHAnsi" w:hAnsiTheme="minorHAnsi" w:cstheme="minorHAnsi"/>
                <w:sz w:val="22"/>
                <w:szCs w:val="22"/>
              </w:rPr>
            </w:pPr>
            <w:r w:rsidRPr="001F1937">
              <w:rPr>
                <w:rFonts w:asciiTheme="minorHAnsi" w:hAnsiTheme="minorHAnsi" w:cstheme="minorHAnsi"/>
                <w:sz w:val="22"/>
                <w:szCs w:val="22"/>
              </w:rPr>
              <w:t>GUS: https://stat.gov.pl/obszary-tematyczne/nauka-i-technika-spoleczenstwo-informacyjne/spoleczenstwo-informacyjne/spoleczenstwo-informacyjne-w-polsce-w-2021-roku,2,11.html</w:t>
            </w:r>
          </w:p>
        </w:tc>
        <w:tc>
          <w:tcPr>
            <w:tcW w:w="5812" w:type="dxa"/>
            <w:shd w:val="clear" w:color="auto" w:fill="auto"/>
          </w:tcPr>
          <w:p w14:paraId="286099D7" w14:textId="42770CDA" w:rsidR="00A06425" w:rsidRPr="001F1937" w:rsidRDefault="00A06425" w:rsidP="003609B1">
            <w:pPr>
              <w:rPr>
                <w:rFonts w:asciiTheme="minorHAnsi" w:hAnsiTheme="minorHAnsi" w:cstheme="minorHAnsi"/>
                <w:sz w:val="22"/>
                <w:szCs w:val="22"/>
              </w:rPr>
            </w:pPr>
          </w:p>
        </w:tc>
        <w:tc>
          <w:tcPr>
            <w:tcW w:w="1359" w:type="dxa"/>
          </w:tcPr>
          <w:p w14:paraId="1CFAA167" w14:textId="77777777" w:rsidR="00A06425" w:rsidRPr="001F1937" w:rsidRDefault="00A06425" w:rsidP="004D086F">
            <w:pPr>
              <w:jc w:val="center"/>
              <w:rPr>
                <w:rFonts w:asciiTheme="minorHAnsi" w:hAnsiTheme="minorHAnsi" w:cstheme="minorHAnsi"/>
                <w:sz w:val="22"/>
                <w:szCs w:val="22"/>
              </w:rPr>
            </w:pPr>
          </w:p>
        </w:tc>
      </w:tr>
      <w:tr w:rsidR="00A06425" w:rsidRPr="001F1937" w14:paraId="47E1C8D9" w14:textId="77777777" w:rsidTr="00A06425">
        <w:tc>
          <w:tcPr>
            <w:tcW w:w="562" w:type="dxa"/>
            <w:shd w:val="clear" w:color="auto" w:fill="auto"/>
          </w:tcPr>
          <w:p w14:paraId="0C15AEFA" w14:textId="77777777" w:rsidR="00A06425" w:rsidRPr="001F1937" w:rsidRDefault="00F619D7" w:rsidP="00A06425">
            <w:pPr>
              <w:spacing w:before="120" w:after="120"/>
              <w:jc w:val="center"/>
              <w:rPr>
                <w:rFonts w:asciiTheme="minorHAnsi" w:hAnsiTheme="minorHAnsi" w:cstheme="minorHAnsi"/>
                <w:b/>
                <w:sz w:val="22"/>
                <w:szCs w:val="22"/>
              </w:rPr>
            </w:pPr>
            <w:r w:rsidRPr="001F1937">
              <w:rPr>
                <w:rFonts w:asciiTheme="minorHAnsi" w:hAnsiTheme="minorHAnsi" w:cstheme="minorHAnsi"/>
                <w:b/>
                <w:sz w:val="22"/>
                <w:szCs w:val="22"/>
              </w:rPr>
              <w:t>4</w:t>
            </w:r>
          </w:p>
        </w:tc>
        <w:tc>
          <w:tcPr>
            <w:tcW w:w="1134" w:type="dxa"/>
            <w:shd w:val="clear" w:color="auto" w:fill="auto"/>
          </w:tcPr>
          <w:p w14:paraId="36E65F53" w14:textId="77777777" w:rsidR="00A06425" w:rsidRPr="001F1937" w:rsidRDefault="006B2408"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3EE3B6F6" w14:textId="77777777" w:rsidR="00A06425" w:rsidRPr="001F1937" w:rsidRDefault="00E63190" w:rsidP="00E63190">
            <w:pPr>
              <w:rPr>
                <w:rFonts w:asciiTheme="minorHAnsi" w:hAnsiTheme="minorHAnsi" w:cstheme="minorHAnsi"/>
                <w:sz w:val="22"/>
                <w:szCs w:val="22"/>
              </w:rPr>
            </w:pPr>
            <w:r w:rsidRPr="001F1937">
              <w:rPr>
                <w:rFonts w:asciiTheme="minorHAnsi" w:hAnsiTheme="minorHAnsi" w:cstheme="minorHAnsi"/>
                <w:sz w:val="22"/>
                <w:szCs w:val="22"/>
              </w:rPr>
              <w:t>Wnioski w zakresie rozwoju e-usług administracji i e-zdrowia str. 7</w:t>
            </w:r>
          </w:p>
        </w:tc>
        <w:tc>
          <w:tcPr>
            <w:tcW w:w="4678" w:type="dxa"/>
            <w:shd w:val="clear" w:color="auto" w:fill="auto"/>
          </w:tcPr>
          <w:p w14:paraId="40EEE3F8" w14:textId="77777777" w:rsidR="00E63190" w:rsidRPr="001F1937" w:rsidRDefault="00E63190" w:rsidP="00E63190">
            <w:pPr>
              <w:rPr>
                <w:rFonts w:asciiTheme="minorHAnsi" w:hAnsiTheme="minorHAnsi" w:cstheme="minorHAnsi"/>
                <w:sz w:val="22"/>
                <w:szCs w:val="22"/>
              </w:rPr>
            </w:pPr>
            <w:r w:rsidRPr="001F1937">
              <w:rPr>
                <w:rFonts w:asciiTheme="minorHAnsi" w:hAnsiTheme="minorHAnsi" w:cstheme="minorHAnsi"/>
                <w:sz w:val="22"/>
                <w:szCs w:val="22"/>
              </w:rPr>
              <w:t xml:space="preserve">Proponuję aktualizację danych z DESI 2021 ze zwróceniem uwagi na zmianę metodologii. </w:t>
            </w:r>
          </w:p>
          <w:p w14:paraId="27AC6A73" w14:textId="77777777" w:rsidR="00A06425" w:rsidRPr="001F1937" w:rsidRDefault="00E63190" w:rsidP="004D086F">
            <w:pPr>
              <w:jc w:val="center"/>
              <w:rPr>
                <w:rFonts w:asciiTheme="minorHAnsi" w:hAnsiTheme="minorHAnsi" w:cstheme="minorHAnsi"/>
                <w:sz w:val="22"/>
                <w:szCs w:val="22"/>
              </w:rPr>
            </w:pPr>
            <w:r w:rsidRPr="001F1937">
              <w:rPr>
                <w:rFonts w:asciiTheme="minorHAnsi" w:hAnsiTheme="minorHAnsi" w:cstheme="minorHAnsi"/>
                <w:noProof/>
                <w:sz w:val="22"/>
                <w:szCs w:val="22"/>
              </w:rPr>
              <w:drawing>
                <wp:inline distT="0" distB="0" distL="0" distR="0" wp14:anchorId="76F18CB9" wp14:editId="2BB07C89">
                  <wp:extent cx="2512060" cy="1591310"/>
                  <wp:effectExtent l="0" t="0" r="254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2060" cy="1591310"/>
                          </a:xfrm>
                          <a:prstGeom prst="rect">
                            <a:avLst/>
                          </a:prstGeom>
                          <a:noFill/>
                        </pic:spPr>
                      </pic:pic>
                    </a:graphicData>
                  </a:graphic>
                </wp:inline>
              </w:drawing>
            </w:r>
          </w:p>
          <w:p w14:paraId="71D18594" w14:textId="62A1D659" w:rsidR="00E63190" w:rsidRPr="001F1937" w:rsidRDefault="00FD0477" w:rsidP="00DE373C">
            <w:pPr>
              <w:rPr>
                <w:rFonts w:asciiTheme="minorHAnsi" w:hAnsiTheme="minorHAnsi" w:cstheme="minorHAnsi"/>
                <w:sz w:val="22"/>
                <w:szCs w:val="22"/>
              </w:rPr>
            </w:pPr>
            <w:r>
              <w:rPr>
                <w:rFonts w:asciiTheme="minorHAnsi" w:eastAsia="Arial" w:hAnsiTheme="minorHAnsi" w:cstheme="minorHAnsi"/>
                <w:sz w:val="22"/>
                <w:szCs w:val="22"/>
                <w:lang w:eastAsia="en-US"/>
              </w:rPr>
              <w:t>Aktualnie jest</w:t>
            </w:r>
            <w:r w:rsidR="00E63190" w:rsidRPr="001F1937">
              <w:rPr>
                <w:rFonts w:asciiTheme="minorHAnsi" w:eastAsia="Arial" w:hAnsiTheme="minorHAnsi" w:cstheme="minorHAnsi"/>
                <w:sz w:val="22"/>
                <w:szCs w:val="22"/>
                <w:lang w:eastAsia="en-US"/>
              </w:rPr>
              <w:t xml:space="preserve"> </w:t>
            </w:r>
            <w:r>
              <w:rPr>
                <w:rFonts w:asciiTheme="minorHAnsi" w:eastAsia="Arial" w:hAnsiTheme="minorHAnsi" w:cstheme="minorHAnsi"/>
                <w:sz w:val="22"/>
                <w:szCs w:val="22"/>
                <w:lang w:eastAsia="en-US"/>
              </w:rPr>
              <w:t>ok. 13 mln profili zaufanych (</w:t>
            </w:r>
            <w:r w:rsidR="00E63190" w:rsidRPr="001F1937">
              <w:rPr>
                <w:rFonts w:asciiTheme="minorHAnsi" w:eastAsia="Arial" w:hAnsiTheme="minorHAnsi" w:cstheme="minorHAnsi"/>
                <w:sz w:val="22"/>
                <w:szCs w:val="22"/>
                <w:lang w:eastAsia="en-US"/>
              </w:rPr>
              <w:t>13 152 906 na 28.11.2021).</w:t>
            </w:r>
          </w:p>
        </w:tc>
        <w:tc>
          <w:tcPr>
            <w:tcW w:w="5812" w:type="dxa"/>
            <w:shd w:val="clear" w:color="auto" w:fill="auto"/>
          </w:tcPr>
          <w:p w14:paraId="0DFE6DAA" w14:textId="6C34D365" w:rsidR="00A06425" w:rsidRPr="001F1937" w:rsidRDefault="00A06425" w:rsidP="003609B1">
            <w:pPr>
              <w:rPr>
                <w:rFonts w:asciiTheme="minorHAnsi" w:hAnsiTheme="minorHAnsi" w:cstheme="minorHAnsi"/>
                <w:sz w:val="22"/>
                <w:szCs w:val="22"/>
              </w:rPr>
            </w:pPr>
          </w:p>
        </w:tc>
        <w:tc>
          <w:tcPr>
            <w:tcW w:w="1359" w:type="dxa"/>
          </w:tcPr>
          <w:p w14:paraId="74C1BFA3" w14:textId="77777777" w:rsidR="00A06425" w:rsidRPr="001F1937" w:rsidRDefault="00A06425" w:rsidP="004D086F">
            <w:pPr>
              <w:jc w:val="center"/>
              <w:rPr>
                <w:rFonts w:asciiTheme="minorHAnsi" w:hAnsiTheme="minorHAnsi" w:cstheme="minorHAnsi"/>
                <w:sz w:val="22"/>
                <w:szCs w:val="22"/>
              </w:rPr>
            </w:pPr>
          </w:p>
        </w:tc>
      </w:tr>
      <w:tr w:rsidR="00F619D7" w:rsidRPr="001F1937" w14:paraId="20419243" w14:textId="77777777" w:rsidTr="00A06425">
        <w:tc>
          <w:tcPr>
            <w:tcW w:w="562" w:type="dxa"/>
            <w:shd w:val="clear" w:color="auto" w:fill="auto"/>
          </w:tcPr>
          <w:p w14:paraId="3BE317C1" w14:textId="77777777" w:rsidR="00F619D7" w:rsidRPr="001F1937" w:rsidRDefault="001F1937" w:rsidP="00F619D7">
            <w:pPr>
              <w:spacing w:before="120" w:after="120"/>
              <w:jc w:val="center"/>
              <w:rPr>
                <w:rFonts w:asciiTheme="minorHAnsi" w:hAnsiTheme="minorHAnsi" w:cstheme="minorHAnsi"/>
                <w:b/>
                <w:sz w:val="22"/>
                <w:szCs w:val="22"/>
              </w:rPr>
            </w:pPr>
            <w:r>
              <w:rPr>
                <w:rFonts w:asciiTheme="minorHAnsi" w:hAnsiTheme="minorHAnsi" w:cstheme="minorHAnsi"/>
                <w:b/>
                <w:sz w:val="22"/>
                <w:szCs w:val="22"/>
              </w:rPr>
              <w:t>5</w:t>
            </w:r>
          </w:p>
        </w:tc>
        <w:tc>
          <w:tcPr>
            <w:tcW w:w="1134" w:type="dxa"/>
            <w:shd w:val="clear" w:color="auto" w:fill="auto"/>
          </w:tcPr>
          <w:p w14:paraId="121328AC" w14:textId="56EF1CFA" w:rsidR="00F619D7" w:rsidRPr="0039143F" w:rsidRDefault="0088365C" w:rsidP="0039143F">
            <w:pPr>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040C14FF" w14:textId="77777777" w:rsidR="00F619D7" w:rsidRPr="001F1937" w:rsidRDefault="00F619D7" w:rsidP="00F619D7">
            <w:pPr>
              <w:rPr>
                <w:rFonts w:asciiTheme="minorHAnsi" w:hAnsiTheme="minorHAnsi" w:cstheme="minorHAnsi"/>
                <w:sz w:val="22"/>
                <w:szCs w:val="22"/>
              </w:rPr>
            </w:pPr>
            <w:r w:rsidRPr="001F1937">
              <w:rPr>
                <w:rFonts w:asciiTheme="minorHAnsi" w:hAnsiTheme="minorHAnsi" w:cstheme="minorHAnsi"/>
                <w:sz w:val="22"/>
                <w:szCs w:val="22"/>
              </w:rPr>
              <w:t>Wnioski w zakresie rozwoju e-usług administracji i e-zdrowia</w:t>
            </w:r>
            <w:r w:rsidR="0044568D">
              <w:rPr>
                <w:rFonts w:asciiTheme="minorHAnsi" w:hAnsiTheme="minorHAnsi" w:cstheme="minorHAnsi"/>
                <w:sz w:val="22"/>
                <w:szCs w:val="22"/>
              </w:rPr>
              <w:t>, s</w:t>
            </w:r>
            <w:r w:rsidR="0044568D" w:rsidRPr="001F1937">
              <w:rPr>
                <w:rFonts w:asciiTheme="minorHAnsi" w:hAnsiTheme="minorHAnsi" w:cstheme="minorHAnsi"/>
                <w:sz w:val="22"/>
                <w:szCs w:val="22"/>
              </w:rPr>
              <w:t>tr. 9</w:t>
            </w:r>
          </w:p>
        </w:tc>
        <w:tc>
          <w:tcPr>
            <w:tcW w:w="4678" w:type="dxa"/>
            <w:shd w:val="clear" w:color="auto" w:fill="auto"/>
          </w:tcPr>
          <w:p w14:paraId="56C21A3A" w14:textId="77777777" w:rsidR="005C5CAF" w:rsidRDefault="00F619D7" w:rsidP="00F619D7">
            <w:pPr>
              <w:rPr>
                <w:rFonts w:asciiTheme="minorHAnsi" w:hAnsiTheme="minorHAnsi" w:cstheme="minorHAnsi"/>
                <w:sz w:val="22"/>
                <w:szCs w:val="22"/>
              </w:rPr>
            </w:pPr>
            <w:r w:rsidRPr="001F1937">
              <w:rPr>
                <w:rFonts w:asciiTheme="minorHAnsi" w:hAnsiTheme="minorHAnsi" w:cstheme="minorHAnsi"/>
                <w:sz w:val="22"/>
                <w:szCs w:val="22"/>
              </w:rPr>
              <w:t>W akapicie drugim wskazano na możliwość kierowania wsparcia z FERC na „inwestycje w zakresie cyfryzacji procesów back-office w administracji publicznej.”. Zasadnym wydaje się wylistowanie lub bardziej szczegółowe opisanie  procesów, jakie mogą być wspierane ze środków Programu.</w:t>
            </w:r>
          </w:p>
          <w:p w14:paraId="5E8E2B30" w14:textId="64E11AD6" w:rsidR="00F619D7" w:rsidRPr="001F1937" w:rsidRDefault="005C5CAF" w:rsidP="00F619D7">
            <w:pPr>
              <w:rPr>
                <w:rFonts w:asciiTheme="minorHAnsi" w:hAnsiTheme="minorHAnsi" w:cstheme="minorHAnsi"/>
                <w:sz w:val="22"/>
                <w:szCs w:val="22"/>
              </w:rPr>
            </w:pPr>
            <w:r w:rsidRPr="001F1937">
              <w:rPr>
                <w:rFonts w:asciiTheme="minorHAnsi" w:hAnsiTheme="minorHAnsi" w:cstheme="minorHAnsi"/>
                <w:sz w:val="22"/>
                <w:szCs w:val="22"/>
              </w:rPr>
              <w:lastRenderedPageBreak/>
              <w:t>Proponuje się wskazanie/opisanie przykładowych inwestycji w zakresie cyfryzacji procesów back-office, które mogą zostać dofinansowane ze środków FERC.</w:t>
            </w:r>
          </w:p>
        </w:tc>
        <w:tc>
          <w:tcPr>
            <w:tcW w:w="5812" w:type="dxa"/>
            <w:shd w:val="clear" w:color="auto" w:fill="auto"/>
          </w:tcPr>
          <w:p w14:paraId="0F1BC541" w14:textId="0E8428D2" w:rsidR="00F619D7" w:rsidRPr="001F1937" w:rsidRDefault="00F619D7" w:rsidP="00F619D7">
            <w:pPr>
              <w:rPr>
                <w:rFonts w:asciiTheme="minorHAnsi" w:hAnsiTheme="minorHAnsi" w:cstheme="minorHAnsi"/>
                <w:sz w:val="22"/>
                <w:szCs w:val="22"/>
              </w:rPr>
            </w:pPr>
          </w:p>
        </w:tc>
        <w:tc>
          <w:tcPr>
            <w:tcW w:w="1359" w:type="dxa"/>
          </w:tcPr>
          <w:p w14:paraId="376B08E9" w14:textId="77777777" w:rsidR="00F619D7" w:rsidRPr="001F1937" w:rsidRDefault="00F619D7" w:rsidP="00F619D7">
            <w:pPr>
              <w:jc w:val="center"/>
              <w:rPr>
                <w:rFonts w:asciiTheme="minorHAnsi" w:hAnsiTheme="minorHAnsi" w:cstheme="minorHAnsi"/>
                <w:sz w:val="22"/>
                <w:szCs w:val="22"/>
              </w:rPr>
            </w:pPr>
          </w:p>
        </w:tc>
      </w:tr>
      <w:tr w:rsidR="007771B4" w:rsidRPr="001F1937" w14:paraId="44B7CCE6" w14:textId="77777777" w:rsidTr="00A06425">
        <w:tc>
          <w:tcPr>
            <w:tcW w:w="562" w:type="dxa"/>
            <w:shd w:val="clear" w:color="auto" w:fill="auto"/>
          </w:tcPr>
          <w:p w14:paraId="0E94CFFC" w14:textId="77777777" w:rsidR="007771B4" w:rsidRPr="001F1937" w:rsidRDefault="001F1937" w:rsidP="001F1937">
            <w:pPr>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7DFBC07F" w14:textId="77777777" w:rsidR="007771B4" w:rsidRPr="0039143F" w:rsidRDefault="007771B4" w:rsidP="0039143F">
            <w:pPr>
              <w:jc w:val="center"/>
              <w:rPr>
                <w:rFonts w:asciiTheme="minorHAnsi" w:hAnsiTheme="minorHAnsi" w:cstheme="minorHAnsi"/>
                <w:b/>
                <w:sz w:val="22"/>
                <w:szCs w:val="22"/>
              </w:rPr>
            </w:pPr>
            <w:r w:rsidRPr="0039143F">
              <w:rPr>
                <w:rFonts w:asciiTheme="minorHAnsi" w:hAnsiTheme="minorHAnsi" w:cstheme="minorHAnsi"/>
                <w:b/>
                <w:sz w:val="22"/>
                <w:szCs w:val="22"/>
              </w:rPr>
              <w:t>MC</w:t>
            </w:r>
          </w:p>
        </w:tc>
        <w:tc>
          <w:tcPr>
            <w:tcW w:w="1843" w:type="dxa"/>
            <w:shd w:val="clear" w:color="auto" w:fill="auto"/>
          </w:tcPr>
          <w:p w14:paraId="3E14D30E" w14:textId="77777777" w:rsidR="007771B4" w:rsidRPr="001F1937" w:rsidRDefault="007771B4" w:rsidP="007771B4">
            <w:pPr>
              <w:rPr>
                <w:rFonts w:asciiTheme="minorHAnsi" w:hAnsiTheme="minorHAnsi" w:cstheme="minorHAnsi"/>
                <w:sz w:val="22"/>
                <w:szCs w:val="22"/>
              </w:rPr>
            </w:pPr>
            <w:r w:rsidRPr="001F1937">
              <w:rPr>
                <w:rFonts w:asciiTheme="minorHAnsi" w:hAnsiTheme="minorHAnsi" w:cstheme="minorHAnsi"/>
                <w:sz w:val="22"/>
                <w:szCs w:val="22"/>
              </w:rPr>
              <w:t xml:space="preserve">Wnioski w zakresie zapewnienia </w:t>
            </w:r>
            <w:r w:rsidR="0044568D">
              <w:rPr>
                <w:rFonts w:asciiTheme="minorHAnsi" w:hAnsiTheme="minorHAnsi" w:cstheme="minorHAnsi"/>
                <w:sz w:val="22"/>
                <w:szCs w:val="22"/>
              </w:rPr>
              <w:t>cyberbezpieczeństwa, s</w:t>
            </w:r>
            <w:r w:rsidRPr="001F1937">
              <w:rPr>
                <w:rFonts w:asciiTheme="minorHAnsi" w:hAnsiTheme="minorHAnsi" w:cstheme="minorHAnsi"/>
                <w:sz w:val="22"/>
                <w:szCs w:val="22"/>
              </w:rPr>
              <w:t>tr. 11</w:t>
            </w:r>
          </w:p>
        </w:tc>
        <w:tc>
          <w:tcPr>
            <w:tcW w:w="4678" w:type="dxa"/>
            <w:shd w:val="clear" w:color="auto" w:fill="auto"/>
          </w:tcPr>
          <w:p w14:paraId="035E3F1B" w14:textId="77777777" w:rsidR="005F1DC4" w:rsidRDefault="005F1DC4" w:rsidP="007771B4">
            <w:pPr>
              <w:rPr>
                <w:rFonts w:asciiTheme="minorHAnsi" w:hAnsiTheme="minorHAnsi" w:cstheme="minorHAnsi"/>
                <w:sz w:val="22"/>
                <w:szCs w:val="22"/>
              </w:rPr>
            </w:pPr>
            <w:r>
              <w:rPr>
                <w:rFonts w:asciiTheme="minorHAnsi" w:hAnsiTheme="minorHAnsi" w:cstheme="minorHAnsi"/>
                <w:sz w:val="22"/>
                <w:szCs w:val="22"/>
              </w:rPr>
              <w:t xml:space="preserve">W dokumencie wskazano: </w:t>
            </w:r>
          </w:p>
          <w:p w14:paraId="179F1BBE" w14:textId="77777777" w:rsidR="007771B4" w:rsidRDefault="007771B4" w:rsidP="007771B4">
            <w:pPr>
              <w:rPr>
                <w:rFonts w:asciiTheme="minorHAnsi" w:hAnsiTheme="minorHAnsi" w:cstheme="minorHAnsi"/>
                <w:sz w:val="22"/>
                <w:szCs w:val="22"/>
              </w:rPr>
            </w:pPr>
            <w:r w:rsidRPr="001F1937">
              <w:rPr>
                <w:rFonts w:asciiTheme="minorHAnsi" w:hAnsiTheme="minorHAnsi" w:cstheme="minorHAnsi"/>
                <w:sz w:val="22"/>
                <w:szCs w:val="22"/>
              </w:rPr>
              <w:t>„ Według raportu DESI Polska wykazuje dojrzałość w dostępności otwartych danych osiągając wynik 78%, znacznie powyżej średniej (66%) UE . W 2020 r. 54% jednostek administracji publicznej udostępniało online dane z rejestrów publicznych lub innych zasobów danych grom</w:t>
            </w:r>
            <w:r w:rsidR="005C5CAF">
              <w:rPr>
                <w:rFonts w:asciiTheme="minorHAnsi" w:hAnsiTheme="minorHAnsi" w:cstheme="minorHAnsi"/>
                <w:sz w:val="22"/>
                <w:szCs w:val="22"/>
              </w:rPr>
              <w:t>adzonych w urzędzie .” Proponuje się</w:t>
            </w:r>
            <w:r w:rsidRPr="001F1937">
              <w:rPr>
                <w:rFonts w:asciiTheme="minorHAnsi" w:hAnsiTheme="minorHAnsi" w:cstheme="minorHAnsi"/>
                <w:sz w:val="22"/>
                <w:szCs w:val="22"/>
              </w:rPr>
              <w:t xml:space="preserve"> aktualizację danych. </w:t>
            </w:r>
          </w:p>
          <w:p w14:paraId="3FF190EF" w14:textId="23B03D19" w:rsidR="0005289D" w:rsidRPr="001F1937" w:rsidRDefault="0005289D" w:rsidP="007771B4">
            <w:pPr>
              <w:rPr>
                <w:rFonts w:asciiTheme="minorHAnsi" w:hAnsiTheme="minorHAnsi" w:cstheme="minorHAnsi"/>
                <w:sz w:val="22"/>
                <w:szCs w:val="22"/>
              </w:rPr>
            </w:pPr>
            <w:r>
              <w:rPr>
                <w:rFonts w:asciiTheme="minorHAnsi" w:hAnsiTheme="minorHAnsi" w:cstheme="minorHAnsi"/>
                <w:sz w:val="22"/>
                <w:szCs w:val="22"/>
              </w:rPr>
              <w:t>Ponadto o</w:t>
            </w:r>
            <w:r w:rsidRPr="0005289D">
              <w:rPr>
                <w:rFonts w:asciiTheme="minorHAnsi" w:hAnsiTheme="minorHAnsi" w:cstheme="minorHAnsi"/>
                <w:sz w:val="22"/>
                <w:szCs w:val="22"/>
              </w:rPr>
              <w:t>dnośnie przytoczonego raportu DESI należy dodać przypis z linkiem odnoszącym się do źródła danych. W październiku 2021 został opublikowany DESI za 2021, podczas gdy zdaje się, że dane z dokumentu odwołują się do DESI 2020.</w:t>
            </w:r>
          </w:p>
        </w:tc>
        <w:tc>
          <w:tcPr>
            <w:tcW w:w="5812" w:type="dxa"/>
            <w:shd w:val="clear" w:color="auto" w:fill="auto"/>
          </w:tcPr>
          <w:p w14:paraId="3151FA4A" w14:textId="65596624" w:rsidR="007771B4" w:rsidRPr="001F1937" w:rsidRDefault="007771B4" w:rsidP="005C5CAF">
            <w:pPr>
              <w:rPr>
                <w:rFonts w:asciiTheme="minorHAnsi" w:hAnsiTheme="minorHAnsi" w:cstheme="minorHAnsi"/>
                <w:sz w:val="22"/>
                <w:szCs w:val="22"/>
              </w:rPr>
            </w:pPr>
          </w:p>
        </w:tc>
        <w:tc>
          <w:tcPr>
            <w:tcW w:w="1359" w:type="dxa"/>
          </w:tcPr>
          <w:p w14:paraId="30FBBE14" w14:textId="77777777" w:rsidR="007771B4" w:rsidRPr="001F1937" w:rsidRDefault="007771B4" w:rsidP="007771B4">
            <w:pPr>
              <w:jc w:val="center"/>
              <w:rPr>
                <w:rFonts w:asciiTheme="minorHAnsi" w:hAnsiTheme="minorHAnsi" w:cstheme="minorHAnsi"/>
                <w:sz w:val="22"/>
                <w:szCs w:val="22"/>
              </w:rPr>
            </w:pPr>
          </w:p>
        </w:tc>
      </w:tr>
      <w:tr w:rsidR="00852EB5" w:rsidRPr="001F1937" w14:paraId="241EF17F" w14:textId="77777777" w:rsidTr="00A06425">
        <w:tc>
          <w:tcPr>
            <w:tcW w:w="562" w:type="dxa"/>
            <w:shd w:val="clear" w:color="auto" w:fill="auto"/>
          </w:tcPr>
          <w:p w14:paraId="5A3C5FE8" w14:textId="77777777" w:rsidR="00852EB5" w:rsidRPr="001F1937" w:rsidRDefault="001F1937"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14:paraId="593824A4" w14:textId="77777777" w:rsidR="00852EB5" w:rsidRPr="001F1937" w:rsidRDefault="00852EB5"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59E28DDB" w14:textId="77777777" w:rsidR="00852EB5" w:rsidRPr="001F1937" w:rsidRDefault="00852EB5" w:rsidP="006B2408">
            <w:pPr>
              <w:rPr>
                <w:rFonts w:asciiTheme="minorHAnsi" w:hAnsiTheme="minorHAnsi" w:cstheme="minorHAnsi"/>
                <w:sz w:val="22"/>
                <w:szCs w:val="22"/>
              </w:rPr>
            </w:pPr>
            <w:r w:rsidRPr="001F1937">
              <w:rPr>
                <w:rFonts w:asciiTheme="minorHAnsi" w:hAnsiTheme="minorHAnsi" w:cstheme="minorHAnsi"/>
                <w:sz w:val="22"/>
                <w:szCs w:val="22"/>
              </w:rPr>
              <w:t>Wnioski w zakresie otwartości, ponownego wykorzystania i wymiany danych str. 11</w:t>
            </w:r>
          </w:p>
        </w:tc>
        <w:tc>
          <w:tcPr>
            <w:tcW w:w="4678" w:type="dxa"/>
            <w:shd w:val="clear" w:color="auto" w:fill="auto"/>
          </w:tcPr>
          <w:p w14:paraId="078F224A" w14:textId="6A1134FA" w:rsidR="00330B30" w:rsidRPr="001F1937" w:rsidRDefault="00330B30" w:rsidP="006B2408">
            <w:pPr>
              <w:rPr>
                <w:rFonts w:asciiTheme="minorHAnsi" w:hAnsiTheme="minorHAnsi" w:cstheme="minorHAnsi"/>
                <w:sz w:val="22"/>
                <w:szCs w:val="22"/>
              </w:rPr>
            </w:pPr>
            <w:r w:rsidRPr="00330B30">
              <w:rPr>
                <w:rFonts w:asciiTheme="minorHAnsi" w:hAnsiTheme="minorHAnsi" w:cstheme="minorHAnsi"/>
                <w:sz w:val="22"/>
                <w:szCs w:val="22"/>
              </w:rPr>
              <w:t>Proponowan</w:t>
            </w:r>
            <w:r w:rsidR="001166CB">
              <w:rPr>
                <w:rFonts w:asciiTheme="minorHAnsi" w:hAnsiTheme="minorHAnsi" w:cstheme="minorHAnsi"/>
                <w:sz w:val="22"/>
                <w:szCs w:val="22"/>
              </w:rPr>
              <w:t>a</w:t>
            </w:r>
            <w:r w:rsidRPr="00330B30">
              <w:rPr>
                <w:rFonts w:asciiTheme="minorHAnsi" w:hAnsiTheme="minorHAnsi" w:cstheme="minorHAnsi"/>
                <w:sz w:val="22"/>
                <w:szCs w:val="22"/>
              </w:rPr>
              <w:t xml:space="preserve"> zmiana ma na celu podkreślenie, że głównym celem działań w obszarze otwierania danych powinno być zwiększenie ilość i jakości informacji sektora publicznego dostępnych do ponownego wykorzystywania (w tym szczególnych kategorii informacji sektora publicznego, tj. danych o wysokiej wartości oraz danych dynamicznych). Dla rozwoju gospodarki opartej na danych kluczowe jest zwiększenie podaży wszystkich informacji sektora publicznego, a nie tylko wybranych ich kategorii.</w:t>
            </w:r>
          </w:p>
          <w:p w14:paraId="5B7DAB4E" w14:textId="4F456F34" w:rsidR="00852EB5" w:rsidRPr="001F1937" w:rsidRDefault="00852EB5" w:rsidP="006B2408">
            <w:pPr>
              <w:rPr>
                <w:rFonts w:asciiTheme="minorHAnsi" w:hAnsiTheme="minorHAnsi" w:cstheme="minorHAnsi"/>
                <w:sz w:val="22"/>
                <w:szCs w:val="22"/>
              </w:rPr>
            </w:pPr>
          </w:p>
        </w:tc>
        <w:tc>
          <w:tcPr>
            <w:tcW w:w="5812" w:type="dxa"/>
            <w:shd w:val="clear" w:color="auto" w:fill="auto"/>
          </w:tcPr>
          <w:p w14:paraId="54AFA475" w14:textId="77777777" w:rsidR="0088365C" w:rsidRPr="0088365C" w:rsidRDefault="0088365C" w:rsidP="0088365C">
            <w:pPr>
              <w:rPr>
                <w:rFonts w:asciiTheme="minorHAnsi" w:hAnsiTheme="minorHAnsi" w:cstheme="minorHAnsi"/>
                <w:sz w:val="22"/>
                <w:szCs w:val="22"/>
              </w:rPr>
            </w:pPr>
            <w:r w:rsidRPr="0088365C">
              <w:rPr>
                <w:rFonts w:asciiTheme="minorHAnsi" w:hAnsiTheme="minorHAnsi" w:cstheme="minorHAnsi"/>
                <w:sz w:val="22"/>
                <w:szCs w:val="22"/>
              </w:rPr>
              <w:t>Proponuje się brzmienie akapitu:</w:t>
            </w:r>
          </w:p>
          <w:p w14:paraId="7F21BB87" w14:textId="46019976" w:rsidR="00852EB5" w:rsidRPr="001F1937" w:rsidRDefault="0088365C" w:rsidP="0088365C">
            <w:pPr>
              <w:rPr>
                <w:rFonts w:asciiTheme="minorHAnsi" w:hAnsiTheme="minorHAnsi" w:cstheme="minorHAnsi"/>
                <w:sz w:val="22"/>
                <w:szCs w:val="22"/>
              </w:rPr>
            </w:pPr>
            <w:r w:rsidRPr="0088365C">
              <w:rPr>
                <w:rFonts w:asciiTheme="minorHAnsi" w:hAnsiTheme="minorHAnsi" w:cstheme="minorHAnsi"/>
                <w:sz w:val="22"/>
                <w:szCs w:val="22"/>
              </w:rPr>
              <w:t>„</w:t>
            </w:r>
            <w:r w:rsidR="008F6EF8" w:rsidRPr="008F6EF8">
              <w:rPr>
                <w:rFonts w:asciiTheme="minorHAnsi" w:hAnsiTheme="minorHAnsi" w:cstheme="minorHAnsi"/>
                <w:sz w:val="22"/>
                <w:szCs w:val="22"/>
              </w:rPr>
              <w:t>Kluczowe dla rozwoju gospodarki opartej na danych jest zwiększenie ilości i jakości informacji sektora publicznego dostępnych do ponownego wykorzystywania, w tym w szczególności  zapewnienie podaży danych o wysokiej  wartości  oraz danych dynamicznych , usunięcie barier związanych z wykorzystywaniem informacji sektora publicznego i dzieleniem się danymi oraz wspieranie rozwoju kompetencji pozwalających na udostępnianie i wykorzystywanie danych.</w:t>
            </w:r>
            <w:r w:rsidRPr="0088365C">
              <w:rPr>
                <w:rFonts w:asciiTheme="minorHAnsi" w:hAnsiTheme="minorHAnsi" w:cstheme="minorHAnsi"/>
                <w:sz w:val="22"/>
                <w:szCs w:val="22"/>
              </w:rPr>
              <w:t>”</w:t>
            </w:r>
          </w:p>
        </w:tc>
        <w:tc>
          <w:tcPr>
            <w:tcW w:w="1359" w:type="dxa"/>
          </w:tcPr>
          <w:p w14:paraId="4C243556" w14:textId="77777777" w:rsidR="00852EB5" w:rsidRPr="001F1937" w:rsidRDefault="00852EB5" w:rsidP="004D086F">
            <w:pPr>
              <w:jc w:val="center"/>
              <w:rPr>
                <w:rFonts w:asciiTheme="minorHAnsi" w:hAnsiTheme="minorHAnsi" w:cstheme="minorHAnsi"/>
                <w:sz w:val="22"/>
                <w:szCs w:val="22"/>
              </w:rPr>
            </w:pPr>
          </w:p>
        </w:tc>
      </w:tr>
      <w:tr w:rsidR="00852EB5" w:rsidRPr="001F1937" w14:paraId="7E7B073E" w14:textId="77777777" w:rsidTr="00A06425">
        <w:tc>
          <w:tcPr>
            <w:tcW w:w="562" w:type="dxa"/>
            <w:shd w:val="clear" w:color="auto" w:fill="auto"/>
          </w:tcPr>
          <w:p w14:paraId="344605FC" w14:textId="35C802D2" w:rsidR="00852EB5" w:rsidRPr="001F1937" w:rsidRDefault="0005289D"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p>
        </w:tc>
        <w:tc>
          <w:tcPr>
            <w:tcW w:w="1134" w:type="dxa"/>
            <w:shd w:val="clear" w:color="auto" w:fill="auto"/>
          </w:tcPr>
          <w:p w14:paraId="7D607294" w14:textId="77777777" w:rsidR="00852EB5" w:rsidRPr="001F1937" w:rsidRDefault="00852EB5"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78189664" w14:textId="77777777" w:rsidR="00852EB5" w:rsidRPr="001F1937" w:rsidRDefault="00852EB5" w:rsidP="006B2408">
            <w:pPr>
              <w:rPr>
                <w:rFonts w:asciiTheme="minorHAnsi" w:hAnsiTheme="minorHAnsi" w:cstheme="minorHAnsi"/>
                <w:sz w:val="22"/>
                <w:szCs w:val="22"/>
              </w:rPr>
            </w:pPr>
            <w:r w:rsidRPr="001F1937">
              <w:rPr>
                <w:rFonts w:asciiTheme="minorHAnsi" w:hAnsiTheme="minorHAnsi" w:cstheme="minorHAnsi"/>
                <w:sz w:val="22"/>
                <w:szCs w:val="22"/>
              </w:rPr>
              <w:t>Wnioski w zakresie otwartości, ponownego wykorzystania i wymiany danych str. 11/12</w:t>
            </w:r>
          </w:p>
        </w:tc>
        <w:tc>
          <w:tcPr>
            <w:tcW w:w="4678" w:type="dxa"/>
            <w:shd w:val="clear" w:color="auto" w:fill="auto"/>
          </w:tcPr>
          <w:p w14:paraId="03D438EC" w14:textId="77777777" w:rsidR="005F1DC4" w:rsidRDefault="005F1DC4" w:rsidP="00852EB5">
            <w:pPr>
              <w:rPr>
                <w:rFonts w:asciiTheme="minorHAnsi" w:hAnsiTheme="minorHAnsi" w:cstheme="minorHAnsi"/>
                <w:sz w:val="22"/>
                <w:szCs w:val="22"/>
              </w:rPr>
            </w:pPr>
            <w:r>
              <w:rPr>
                <w:rFonts w:asciiTheme="minorHAnsi" w:hAnsiTheme="minorHAnsi" w:cstheme="minorHAnsi"/>
                <w:sz w:val="22"/>
                <w:szCs w:val="22"/>
              </w:rPr>
              <w:t>W dokumencie wskazano:</w:t>
            </w:r>
          </w:p>
          <w:p w14:paraId="75FABA5D" w14:textId="77777777" w:rsidR="005F1DC4" w:rsidRDefault="005F1DC4" w:rsidP="00852EB5">
            <w:pPr>
              <w:rPr>
                <w:rFonts w:asciiTheme="minorHAnsi" w:hAnsiTheme="minorHAnsi" w:cstheme="minorHAnsi"/>
                <w:sz w:val="22"/>
                <w:szCs w:val="22"/>
              </w:rPr>
            </w:pPr>
            <w:r>
              <w:rPr>
                <w:rFonts w:asciiTheme="minorHAnsi" w:hAnsiTheme="minorHAnsi" w:cstheme="minorHAnsi"/>
                <w:sz w:val="22"/>
                <w:szCs w:val="22"/>
              </w:rPr>
              <w:t>„</w:t>
            </w:r>
            <w:r w:rsidRPr="005F1DC4">
              <w:rPr>
                <w:rFonts w:asciiTheme="minorHAnsi" w:hAnsiTheme="minorHAnsi" w:cstheme="minorHAnsi"/>
                <w:sz w:val="22"/>
                <w:szCs w:val="22"/>
              </w:rPr>
              <w:t xml:space="preserve">Jednocześnie indeks wskazuje, że zaledwie 8% przedsiębiorstw analizuje duże zbiory danych (średnia UE 12%). Z badań GUS wynika, że w 2019 r. z otwartych danych publicznych w celach biznesowych korzystało 17,5% przedsiębiorstw  . Przyczyną tego jest niewystarczająca jakość danych i dostęp do zbiorów danych o wysokiej </w:t>
            </w:r>
            <w:r w:rsidRPr="005F1DC4">
              <w:rPr>
                <w:rFonts w:asciiTheme="minorHAnsi" w:hAnsiTheme="minorHAnsi" w:cstheme="minorHAnsi"/>
                <w:sz w:val="22"/>
                <w:szCs w:val="22"/>
              </w:rPr>
              <w:lastRenderedPageBreak/>
              <w:t>wartości i nieodpowiedni sposób udostępnienia danych (stosowanie formatów o niskim stopniu otwartości) oraz często brak dostępu do danych dynamicznych. Dla rozwoju popytu na dane, duże znaczenie ma również ich rodzaj oraz potencjał przedsiębiorstw do ich wykorzystywania w swojej działalności.</w:t>
            </w:r>
            <w:r>
              <w:rPr>
                <w:rFonts w:asciiTheme="minorHAnsi" w:hAnsiTheme="minorHAnsi" w:cstheme="minorHAnsi"/>
                <w:sz w:val="22"/>
                <w:szCs w:val="22"/>
              </w:rPr>
              <w:t>”</w:t>
            </w:r>
          </w:p>
          <w:p w14:paraId="779D06B4" w14:textId="2ECC6FEE" w:rsidR="00852EB5" w:rsidRPr="001F1937" w:rsidRDefault="005F1DC4" w:rsidP="00852EB5">
            <w:pPr>
              <w:rPr>
                <w:rFonts w:asciiTheme="minorHAnsi" w:hAnsiTheme="minorHAnsi" w:cstheme="minorHAnsi"/>
                <w:sz w:val="22"/>
                <w:szCs w:val="22"/>
              </w:rPr>
            </w:pPr>
            <w:r>
              <w:rPr>
                <w:rFonts w:asciiTheme="minorHAnsi" w:hAnsiTheme="minorHAnsi" w:cstheme="minorHAnsi"/>
                <w:sz w:val="22"/>
                <w:szCs w:val="22"/>
              </w:rPr>
              <w:t xml:space="preserve">Proponuje się modyfikację akapitu </w:t>
            </w:r>
          </w:p>
        </w:tc>
        <w:tc>
          <w:tcPr>
            <w:tcW w:w="5812" w:type="dxa"/>
            <w:shd w:val="clear" w:color="auto" w:fill="auto"/>
          </w:tcPr>
          <w:p w14:paraId="0E765D1D" w14:textId="77777777" w:rsidR="005F1DC4" w:rsidRPr="001F1937" w:rsidRDefault="005F1DC4" w:rsidP="005F1DC4">
            <w:pPr>
              <w:rPr>
                <w:rFonts w:asciiTheme="minorHAnsi" w:hAnsiTheme="minorHAnsi" w:cstheme="minorHAnsi"/>
                <w:sz w:val="22"/>
                <w:szCs w:val="22"/>
              </w:rPr>
            </w:pPr>
            <w:r w:rsidRPr="001F1937">
              <w:rPr>
                <w:rFonts w:asciiTheme="minorHAnsi" w:hAnsiTheme="minorHAnsi" w:cstheme="minorHAnsi"/>
                <w:sz w:val="22"/>
                <w:szCs w:val="22"/>
              </w:rPr>
              <w:lastRenderedPageBreak/>
              <w:t>Proponuje się poniższe brzmienie akapitu:</w:t>
            </w:r>
          </w:p>
          <w:p w14:paraId="5E1712D6" w14:textId="11E533C4" w:rsidR="00852EB5" w:rsidRPr="001F1937" w:rsidRDefault="005F1DC4" w:rsidP="005F1DC4">
            <w:pPr>
              <w:rPr>
                <w:rFonts w:asciiTheme="minorHAnsi" w:hAnsiTheme="minorHAnsi" w:cstheme="minorHAnsi"/>
                <w:sz w:val="22"/>
                <w:szCs w:val="22"/>
              </w:rPr>
            </w:pPr>
            <w:r w:rsidRPr="001F1937">
              <w:rPr>
                <w:rFonts w:asciiTheme="minorHAnsi" w:hAnsiTheme="minorHAnsi" w:cstheme="minorHAnsi"/>
                <w:sz w:val="22"/>
                <w:szCs w:val="22"/>
              </w:rPr>
              <w:t>„</w:t>
            </w:r>
            <w:r w:rsidR="008F6EF8" w:rsidRPr="008F6EF8">
              <w:rPr>
                <w:rFonts w:asciiTheme="minorHAnsi" w:hAnsiTheme="minorHAnsi" w:cstheme="minorHAnsi"/>
                <w:sz w:val="22"/>
                <w:szCs w:val="22"/>
              </w:rPr>
              <w:t xml:space="preserve">Jednocześnie indeks wskazuje, że zaledwie 8% przedsiębiorstw analizuje duże zbiory danych (średnia UE 12%). Z badań GUS wynika, że w 2019 r. z otwartych danych publicznych w celach biznesowych korzystało 17,5% przedsiębiorstw . Przyczyną tego jest w dalszym ciągu niewystarczająca ilość i jakość informacji sektora publicznego udostępnianych do ponownego wykorzystywania, w tym w </w:t>
            </w:r>
            <w:r w:rsidR="008F6EF8" w:rsidRPr="008F6EF8">
              <w:rPr>
                <w:rFonts w:asciiTheme="minorHAnsi" w:hAnsiTheme="minorHAnsi" w:cstheme="minorHAnsi"/>
                <w:sz w:val="22"/>
                <w:szCs w:val="22"/>
              </w:rPr>
              <w:lastRenderedPageBreak/>
              <w:t>szczególności ograniczony dostęp do danych o wysokiej wartości i danych dynamicznych, a także nieodpowiedni sposób udostępniania informacji (np. stosowanie formatów o niskim stopniu otwartości, brak interfejsów programistycznych aplikacji). Dla rozwoju popytu na dane, duże znaczenie ma również ich rodzaj oraz potencjał przedsiębiorstw do ich wykorzystywania w swojej działalności.</w:t>
            </w:r>
            <w:r w:rsidRPr="001F1937">
              <w:rPr>
                <w:rFonts w:asciiTheme="minorHAnsi" w:hAnsiTheme="minorHAnsi" w:cstheme="minorHAnsi"/>
                <w:sz w:val="22"/>
                <w:szCs w:val="22"/>
              </w:rPr>
              <w:t>”.</w:t>
            </w:r>
          </w:p>
        </w:tc>
        <w:tc>
          <w:tcPr>
            <w:tcW w:w="1359" w:type="dxa"/>
          </w:tcPr>
          <w:p w14:paraId="363A87DD" w14:textId="77777777" w:rsidR="00852EB5" w:rsidRPr="001F1937" w:rsidRDefault="00852EB5" w:rsidP="004D086F">
            <w:pPr>
              <w:jc w:val="center"/>
              <w:rPr>
                <w:rFonts w:asciiTheme="minorHAnsi" w:hAnsiTheme="minorHAnsi" w:cstheme="minorHAnsi"/>
                <w:sz w:val="22"/>
                <w:szCs w:val="22"/>
              </w:rPr>
            </w:pPr>
          </w:p>
        </w:tc>
      </w:tr>
      <w:tr w:rsidR="00F619D7" w:rsidRPr="001F1937" w14:paraId="7134DA95" w14:textId="77777777" w:rsidTr="00A06425">
        <w:tc>
          <w:tcPr>
            <w:tcW w:w="562" w:type="dxa"/>
            <w:shd w:val="clear" w:color="auto" w:fill="auto"/>
          </w:tcPr>
          <w:p w14:paraId="50D1CD2F" w14:textId="6DF55584" w:rsidR="00F619D7" w:rsidRPr="001F1937" w:rsidRDefault="0005289D" w:rsidP="007771B4">
            <w:pPr>
              <w:rPr>
                <w:rFonts w:asciiTheme="minorHAnsi" w:hAnsiTheme="minorHAnsi" w:cstheme="minorHAnsi"/>
                <w:b/>
                <w:sz w:val="22"/>
                <w:szCs w:val="22"/>
              </w:rPr>
            </w:pPr>
            <w:r>
              <w:rPr>
                <w:rFonts w:asciiTheme="minorHAnsi" w:hAnsiTheme="minorHAnsi" w:cstheme="minorHAnsi"/>
                <w:b/>
                <w:sz w:val="22"/>
                <w:szCs w:val="22"/>
              </w:rPr>
              <w:t>9</w:t>
            </w:r>
          </w:p>
        </w:tc>
        <w:tc>
          <w:tcPr>
            <w:tcW w:w="1134" w:type="dxa"/>
            <w:shd w:val="clear" w:color="auto" w:fill="auto"/>
          </w:tcPr>
          <w:p w14:paraId="1BB96110" w14:textId="77DE8842" w:rsidR="00F619D7" w:rsidRPr="0039143F" w:rsidRDefault="00FF6064" w:rsidP="007771B4">
            <w:pPr>
              <w:rPr>
                <w:rFonts w:asciiTheme="minorHAnsi" w:hAnsiTheme="minorHAnsi" w:cstheme="minorHAnsi"/>
                <w:b/>
                <w:sz w:val="22"/>
                <w:szCs w:val="22"/>
              </w:rPr>
            </w:pPr>
            <w:r w:rsidRPr="0039143F">
              <w:rPr>
                <w:rFonts w:asciiTheme="minorHAnsi" w:hAnsiTheme="minorHAnsi" w:cstheme="minorHAnsi"/>
                <w:b/>
                <w:sz w:val="22"/>
                <w:szCs w:val="22"/>
              </w:rPr>
              <w:t>MC</w:t>
            </w:r>
          </w:p>
        </w:tc>
        <w:tc>
          <w:tcPr>
            <w:tcW w:w="1843" w:type="dxa"/>
            <w:shd w:val="clear" w:color="auto" w:fill="auto"/>
          </w:tcPr>
          <w:p w14:paraId="31CD6640" w14:textId="3B57DB16" w:rsidR="00F619D7" w:rsidRPr="001F1937" w:rsidRDefault="00FF6064" w:rsidP="0028726E">
            <w:pPr>
              <w:rPr>
                <w:rFonts w:asciiTheme="minorHAnsi" w:hAnsiTheme="minorHAnsi" w:cstheme="minorHAnsi"/>
                <w:sz w:val="22"/>
                <w:szCs w:val="22"/>
              </w:rPr>
            </w:pPr>
            <w:r w:rsidRPr="001F1937">
              <w:rPr>
                <w:rFonts w:asciiTheme="minorHAnsi" w:hAnsiTheme="minorHAnsi" w:cstheme="minorHAnsi"/>
                <w:sz w:val="22"/>
                <w:szCs w:val="22"/>
              </w:rPr>
              <w:t>Doświadczenia realizacji Programu Operacyjnego Polska Cyfrowa na lata 2014-2020</w:t>
            </w:r>
            <w:r w:rsidR="0028726E">
              <w:rPr>
                <w:rFonts w:asciiTheme="minorHAnsi" w:hAnsiTheme="minorHAnsi" w:cstheme="minorHAnsi"/>
                <w:sz w:val="22"/>
                <w:szCs w:val="22"/>
              </w:rPr>
              <w:t>, s</w:t>
            </w:r>
            <w:r w:rsidR="001A2E8B" w:rsidRPr="001A2E8B">
              <w:rPr>
                <w:rFonts w:asciiTheme="minorHAnsi" w:hAnsiTheme="minorHAnsi" w:cstheme="minorHAnsi"/>
                <w:sz w:val="22"/>
                <w:szCs w:val="22"/>
              </w:rPr>
              <w:t>tr. 16</w:t>
            </w:r>
          </w:p>
        </w:tc>
        <w:tc>
          <w:tcPr>
            <w:tcW w:w="4678" w:type="dxa"/>
            <w:shd w:val="clear" w:color="auto" w:fill="auto"/>
          </w:tcPr>
          <w:p w14:paraId="2FD86B02" w14:textId="77777777" w:rsidR="00FF6064" w:rsidRPr="001F1937" w:rsidRDefault="00FF6064" w:rsidP="00FF6064">
            <w:pPr>
              <w:rPr>
                <w:rFonts w:asciiTheme="minorHAnsi" w:hAnsiTheme="minorHAnsi" w:cstheme="minorHAnsi"/>
                <w:sz w:val="22"/>
                <w:szCs w:val="22"/>
              </w:rPr>
            </w:pPr>
            <w:r w:rsidRPr="001F1937">
              <w:rPr>
                <w:rFonts w:asciiTheme="minorHAnsi" w:hAnsiTheme="minorHAnsi" w:cstheme="minorHAnsi"/>
                <w:sz w:val="22"/>
                <w:szCs w:val="22"/>
              </w:rPr>
              <w:t>W akapicie pierwszym wskazano, że działania Programu będą przeznaczone na działania związane „z tworzeniem lub rozwojem dedykowanych sieci telekomunikacyjnych, służących świadczeniu usług w miejscach stanowiących główną siłę napędową rozwoju społeczno-gospodarczego”.</w:t>
            </w:r>
          </w:p>
          <w:p w14:paraId="0436E8EB" w14:textId="77777777" w:rsidR="005C5CAF" w:rsidRDefault="00FF6064" w:rsidP="00FF6064">
            <w:pPr>
              <w:rPr>
                <w:rFonts w:asciiTheme="minorHAnsi" w:hAnsiTheme="minorHAnsi" w:cstheme="minorHAnsi"/>
                <w:sz w:val="22"/>
                <w:szCs w:val="22"/>
              </w:rPr>
            </w:pPr>
            <w:r w:rsidRPr="001F1937">
              <w:rPr>
                <w:rFonts w:asciiTheme="minorHAnsi" w:hAnsiTheme="minorHAnsi" w:cstheme="minorHAnsi"/>
                <w:sz w:val="22"/>
                <w:szCs w:val="22"/>
              </w:rPr>
              <w:t>Sformułowanie jest niejasne – nie wskazano bowiem żadnego przykładu miejsc będących siłą napędową rozwoju społeczno-gospodarczego, wymagających budowy/rozwoju dedykowanych sieci telekomunikacyjnych.</w:t>
            </w:r>
          </w:p>
          <w:p w14:paraId="1C8E09B0" w14:textId="73EED7E6" w:rsidR="00F619D7" w:rsidRPr="001F1937" w:rsidRDefault="005C5CAF" w:rsidP="00FF6064">
            <w:pPr>
              <w:rPr>
                <w:rFonts w:asciiTheme="minorHAnsi" w:hAnsiTheme="minorHAnsi" w:cstheme="minorHAnsi"/>
                <w:sz w:val="22"/>
                <w:szCs w:val="22"/>
              </w:rPr>
            </w:pPr>
            <w:r w:rsidRPr="001F1937">
              <w:rPr>
                <w:rFonts w:asciiTheme="minorHAnsi" w:hAnsiTheme="minorHAnsi" w:cstheme="minorHAnsi"/>
                <w:sz w:val="22"/>
                <w:szCs w:val="22"/>
              </w:rPr>
              <w:t>Proponuje się wskazać przykładowe miejsca tego typu interwencji.</w:t>
            </w:r>
          </w:p>
        </w:tc>
        <w:tc>
          <w:tcPr>
            <w:tcW w:w="5812" w:type="dxa"/>
            <w:shd w:val="clear" w:color="auto" w:fill="auto"/>
          </w:tcPr>
          <w:p w14:paraId="1016763D" w14:textId="01AAB92D" w:rsidR="00F619D7" w:rsidRPr="001F1937" w:rsidRDefault="00F619D7" w:rsidP="007771B4">
            <w:pPr>
              <w:rPr>
                <w:rFonts w:asciiTheme="minorHAnsi" w:hAnsiTheme="minorHAnsi" w:cstheme="minorHAnsi"/>
                <w:sz w:val="22"/>
                <w:szCs w:val="22"/>
              </w:rPr>
            </w:pPr>
          </w:p>
        </w:tc>
        <w:tc>
          <w:tcPr>
            <w:tcW w:w="1359" w:type="dxa"/>
          </w:tcPr>
          <w:p w14:paraId="48C2B8B5" w14:textId="77777777" w:rsidR="00F619D7" w:rsidRPr="001F1937" w:rsidRDefault="00F619D7" w:rsidP="007771B4">
            <w:pPr>
              <w:jc w:val="center"/>
              <w:rPr>
                <w:rFonts w:asciiTheme="minorHAnsi" w:hAnsiTheme="minorHAnsi" w:cstheme="minorHAnsi"/>
                <w:sz w:val="22"/>
                <w:szCs w:val="22"/>
              </w:rPr>
            </w:pPr>
          </w:p>
        </w:tc>
      </w:tr>
      <w:tr w:rsidR="00FF6064" w:rsidRPr="001F1937" w14:paraId="58AAECF0" w14:textId="77777777" w:rsidTr="00A06425">
        <w:tc>
          <w:tcPr>
            <w:tcW w:w="562" w:type="dxa"/>
            <w:shd w:val="clear" w:color="auto" w:fill="auto"/>
          </w:tcPr>
          <w:p w14:paraId="13B27660" w14:textId="2F1E4DFA" w:rsidR="00FF6064" w:rsidRPr="001F1937" w:rsidRDefault="001F1937" w:rsidP="007771B4">
            <w:pPr>
              <w:rPr>
                <w:rFonts w:asciiTheme="minorHAnsi" w:hAnsiTheme="minorHAnsi" w:cstheme="minorHAnsi"/>
                <w:b/>
                <w:sz w:val="22"/>
                <w:szCs w:val="22"/>
              </w:rPr>
            </w:pPr>
            <w:r>
              <w:rPr>
                <w:rFonts w:asciiTheme="minorHAnsi" w:hAnsiTheme="minorHAnsi" w:cstheme="minorHAnsi"/>
                <w:b/>
                <w:sz w:val="22"/>
                <w:szCs w:val="22"/>
              </w:rPr>
              <w:t>1</w:t>
            </w:r>
            <w:r w:rsidR="0005289D">
              <w:rPr>
                <w:rFonts w:asciiTheme="minorHAnsi" w:hAnsiTheme="minorHAnsi" w:cstheme="minorHAnsi"/>
                <w:b/>
                <w:sz w:val="22"/>
                <w:szCs w:val="22"/>
              </w:rPr>
              <w:t>0</w:t>
            </w:r>
          </w:p>
        </w:tc>
        <w:tc>
          <w:tcPr>
            <w:tcW w:w="1134" w:type="dxa"/>
            <w:shd w:val="clear" w:color="auto" w:fill="auto"/>
          </w:tcPr>
          <w:p w14:paraId="4073F83F" w14:textId="38A24F5B" w:rsidR="00FF6064" w:rsidRPr="0039143F" w:rsidRDefault="00FF6064" w:rsidP="007771B4">
            <w:pPr>
              <w:rPr>
                <w:rFonts w:asciiTheme="minorHAnsi" w:hAnsiTheme="minorHAnsi" w:cstheme="minorHAnsi"/>
                <w:b/>
                <w:sz w:val="22"/>
                <w:szCs w:val="22"/>
              </w:rPr>
            </w:pPr>
            <w:r w:rsidRPr="001166CB">
              <w:rPr>
                <w:rFonts w:asciiTheme="minorHAnsi" w:hAnsiTheme="minorHAnsi" w:cstheme="minorHAnsi"/>
                <w:b/>
                <w:sz w:val="22"/>
                <w:szCs w:val="22"/>
              </w:rPr>
              <w:t>MC</w:t>
            </w:r>
          </w:p>
        </w:tc>
        <w:tc>
          <w:tcPr>
            <w:tcW w:w="1843" w:type="dxa"/>
            <w:shd w:val="clear" w:color="auto" w:fill="auto"/>
          </w:tcPr>
          <w:p w14:paraId="3C076BA5" w14:textId="5CEAD977" w:rsidR="00FF6064" w:rsidRPr="001F1937" w:rsidRDefault="00FF6064" w:rsidP="007771B4">
            <w:pPr>
              <w:rPr>
                <w:rFonts w:asciiTheme="minorHAnsi" w:hAnsiTheme="minorHAnsi" w:cstheme="minorHAnsi"/>
                <w:sz w:val="22"/>
                <w:szCs w:val="22"/>
              </w:rPr>
            </w:pPr>
            <w:r w:rsidRPr="001F1937">
              <w:rPr>
                <w:rFonts w:asciiTheme="minorHAnsi" w:hAnsiTheme="minorHAnsi" w:cstheme="minorHAnsi"/>
                <w:sz w:val="22"/>
                <w:szCs w:val="22"/>
              </w:rPr>
              <w:t>Tabela nr 1, Kolumna pn. Uzasadnienie (podsumowanie)</w:t>
            </w:r>
            <w:r w:rsidR="005F1DC4">
              <w:rPr>
                <w:rFonts w:asciiTheme="minorHAnsi" w:hAnsiTheme="minorHAnsi" w:cstheme="minorHAnsi"/>
                <w:sz w:val="22"/>
                <w:szCs w:val="22"/>
              </w:rPr>
              <w:t>,</w:t>
            </w:r>
            <w:r w:rsidR="001A2E8B">
              <w:rPr>
                <w:rFonts w:asciiTheme="minorHAnsi" w:hAnsiTheme="minorHAnsi" w:cstheme="minorHAnsi"/>
                <w:sz w:val="22"/>
                <w:szCs w:val="22"/>
              </w:rPr>
              <w:t xml:space="preserve"> </w:t>
            </w:r>
            <w:r w:rsidR="005F1DC4">
              <w:rPr>
                <w:rFonts w:asciiTheme="minorHAnsi" w:hAnsiTheme="minorHAnsi" w:cstheme="minorHAnsi"/>
                <w:sz w:val="22"/>
                <w:szCs w:val="22"/>
              </w:rPr>
              <w:t>s</w:t>
            </w:r>
            <w:r w:rsidR="001A2E8B" w:rsidRPr="001A2E8B">
              <w:rPr>
                <w:rFonts w:asciiTheme="minorHAnsi" w:hAnsiTheme="minorHAnsi" w:cstheme="minorHAnsi"/>
                <w:sz w:val="22"/>
                <w:szCs w:val="22"/>
              </w:rPr>
              <w:t>tr. 17</w:t>
            </w:r>
          </w:p>
        </w:tc>
        <w:tc>
          <w:tcPr>
            <w:tcW w:w="4678" w:type="dxa"/>
            <w:shd w:val="clear" w:color="auto" w:fill="auto"/>
          </w:tcPr>
          <w:p w14:paraId="03B95BDB" w14:textId="24D33F1C" w:rsidR="00FF6064" w:rsidRPr="001F1937" w:rsidRDefault="00FF6064" w:rsidP="00FF6064">
            <w:pPr>
              <w:rPr>
                <w:rFonts w:asciiTheme="minorHAnsi" w:hAnsiTheme="minorHAnsi" w:cstheme="minorHAnsi"/>
                <w:sz w:val="22"/>
                <w:szCs w:val="22"/>
              </w:rPr>
            </w:pPr>
            <w:r w:rsidRPr="001F1937">
              <w:rPr>
                <w:rFonts w:asciiTheme="minorHAnsi" w:hAnsiTheme="minorHAnsi" w:cstheme="minorHAnsi"/>
                <w:sz w:val="22"/>
                <w:szCs w:val="22"/>
              </w:rPr>
              <w:t xml:space="preserve">Uzasadnienie powinno zostać dostosowane </w:t>
            </w:r>
            <w:r w:rsidR="00206264">
              <w:rPr>
                <w:rFonts w:asciiTheme="minorHAnsi" w:hAnsiTheme="minorHAnsi" w:cstheme="minorHAnsi"/>
                <w:sz w:val="22"/>
                <w:szCs w:val="22"/>
              </w:rPr>
              <w:t xml:space="preserve">zgodnie z </w:t>
            </w:r>
            <w:r w:rsidRPr="001F1937">
              <w:rPr>
                <w:rFonts w:asciiTheme="minorHAnsi" w:hAnsiTheme="minorHAnsi" w:cstheme="minorHAnsi"/>
                <w:sz w:val="22"/>
                <w:szCs w:val="22"/>
              </w:rPr>
              <w:t>treści</w:t>
            </w:r>
            <w:r w:rsidR="00206264">
              <w:rPr>
                <w:rFonts w:asciiTheme="minorHAnsi" w:hAnsiTheme="minorHAnsi" w:cstheme="minorHAnsi"/>
                <w:sz w:val="22"/>
                <w:szCs w:val="22"/>
              </w:rPr>
              <w:t>ą</w:t>
            </w:r>
            <w:r w:rsidRPr="001F1937">
              <w:rPr>
                <w:rFonts w:asciiTheme="minorHAnsi" w:hAnsiTheme="minorHAnsi" w:cstheme="minorHAnsi"/>
                <w:sz w:val="22"/>
                <w:szCs w:val="22"/>
              </w:rPr>
              <w:t xml:space="preserve"> uwagi, w której wskazano, że środki Programu powinny być in generali skierowane na pokrycie białych plam, bez wyszczególnienia obszarów wiejskich, o niskiej gęstości zabudowy lub rozproszonych, tak aby zapewniona była elastyczność w projektowaniu konkretnych interwencji.</w:t>
            </w:r>
          </w:p>
          <w:p w14:paraId="79059BE6" w14:textId="45AF11D8" w:rsidR="00FF6064" w:rsidRPr="001F1937" w:rsidRDefault="00FF6064" w:rsidP="00206264">
            <w:pPr>
              <w:rPr>
                <w:rFonts w:asciiTheme="minorHAnsi" w:hAnsiTheme="minorHAnsi" w:cstheme="minorHAnsi"/>
                <w:sz w:val="22"/>
                <w:szCs w:val="22"/>
              </w:rPr>
            </w:pPr>
            <w:r w:rsidRPr="001166CB">
              <w:rPr>
                <w:rFonts w:asciiTheme="minorHAnsi" w:hAnsiTheme="minorHAnsi" w:cstheme="minorHAnsi"/>
                <w:sz w:val="22"/>
                <w:szCs w:val="22"/>
              </w:rPr>
              <w:t>Dodatkowo uspójnienia wymaga fragment uzasadnienia dot. nieopłacalności inwestycji – w zakresie kosztów OPEX, jak i wskazanych w uwadze UKE kosztów CAPEX.</w:t>
            </w:r>
          </w:p>
        </w:tc>
        <w:tc>
          <w:tcPr>
            <w:tcW w:w="5812" w:type="dxa"/>
            <w:shd w:val="clear" w:color="auto" w:fill="auto"/>
          </w:tcPr>
          <w:p w14:paraId="673AC15C" w14:textId="684C67EE" w:rsidR="00FF6064" w:rsidRPr="001F1937" w:rsidRDefault="00FF6064" w:rsidP="007771B4">
            <w:pPr>
              <w:rPr>
                <w:rFonts w:asciiTheme="minorHAnsi" w:hAnsiTheme="minorHAnsi" w:cstheme="minorHAnsi"/>
                <w:sz w:val="22"/>
                <w:szCs w:val="22"/>
              </w:rPr>
            </w:pPr>
          </w:p>
        </w:tc>
        <w:tc>
          <w:tcPr>
            <w:tcW w:w="1359" w:type="dxa"/>
          </w:tcPr>
          <w:p w14:paraId="5418DB89" w14:textId="77777777" w:rsidR="00FF6064" w:rsidRPr="001F1937" w:rsidRDefault="00FF6064" w:rsidP="007771B4">
            <w:pPr>
              <w:jc w:val="center"/>
              <w:rPr>
                <w:rFonts w:asciiTheme="minorHAnsi" w:hAnsiTheme="minorHAnsi" w:cstheme="minorHAnsi"/>
                <w:sz w:val="22"/>
                <w:szCs w:val="22"/>
              </w:rPr>
            </w:pPr>
          </w:p>
        </w:tc>
      </w:tr>
      <w:tr w:rsidR="001F1937" w:rsidRPr="001F1937" w14:paraId="4C35F4F8" w14:textId="77777777" w:rsidTr="00A06425">
        <w:tc>
          <w:tcPr>
            <w:tcW w:w="562" w:type="dxa"/>
            <w:shd w:val="clear" w:color="auto" w:fill="auto"/>
          </w:tcPr>
          <w:p w14:paraId="305088AF" w14:textId="45CB203D" w:rsidR="001F1937" w:rsidRPr="001F1937" w:rsidRDefault="001F1937" w:rsidP="007771B4">
            <w:pPr>
              <w:rPr>
                <w:rFonts w:asciiTheme="minorHAnsi" w:hAnsiTheme="minorHAnsi" w:cstheme="minorHAnsi"/>
                <w:b/>
                <w:sz w:val="22"/>
                <w:szCs w:val="22"/>
              </w:rPr>
            </w:pPr>
            <w:r>
              <w:rPr>
                <w:rFonts w:asciiTheme="minorHAnsi" w:hAnsiTheme="minorHAnsi" w:cstheme="minorHAnsi"/>
                <w:b/>
                <w:sz w:val="22"/>
                <w:szCs w:val="22"/>
              </w:rPr>
              <w:t>1</w:t>
            </w:r>
            <w:r w:rsidR="0005289D">
              <w:rPr>
                <w:rFonts w:asciiTheme="minorHAnsi" w:hAnsiTheme="minorHAnsi" w:cstheme="minorHAnsi"/>
                <w:b/>
                <w:sz w:val="22"/>
                <w:szCs w:val="22"/>
              </w:rPr>
              <w:t>1</w:t>
            </w:r>
          </w:p>
        </w:tc>
        <w:tc>
          <w:tcPr>
            <w:tcW w:w="1134" w:type="dxa"/>
            <w:shd w:val="clear" w:color="auto" w:fill="auto"/>
          </w:tcPr>
          <w:p w14:paraId="1C985EB8" w14:textId="1CA09742" w:rsidR="001F1937" w:rsidRPr="0039143F" w:rsidRDefault="001F1937" w:rsidP="007771B4">
            <w:pPr>
              <w:rPr>
                <w:rFonts w:asciiTheme="minorHAnsi" w:hAnsiTheme="minorHAnsi" w:cstheme="minorHAnsi"/>
                <w:b/>
                <w:sz w:val="22"/>
                <w:szCs w:val="22"/>
              </w:rPr>
            </w:pPr>
            <w:r w:rsidRPr="0039143F">
              <w:rPr>
                <w:rFonts w:asciiTheme="minorHAnsi" w:hAnsiTheme="minorHAnsi" w:cstheme="minorHAnsi"/>
                <w:b/>
                <w:sz w:val="22"/>
                <w:szCs w:val="22"/>
              </w:rPr>
              <w:t xml:space="preserve">MC </w:t>
            </w:r>
          </w:p>
        </w:tc>
        <w:tc>
          <w:tcPr>
            <w:tcW w:w="1843" w:type="dxa"/>
            <w:shd w:val="clear" w:color="auto" w:fill="auto"/>
          </w:tcPr>
          <w:p w14:paraId="1C7674B7" w14:textId="5728E8DE" w:rsidR="001F1937" w:rsidRPr="001F1937" w:rsidRDefault="001F1937" w:rsidP="007771B4">
            <w:pPr>
              <w:rPr>
                <w:rFonts w:asciiTheme="minorHAnsi" w:hAnsiTheme="minorHAnsi" w:cstheme="minorHAnsi"/>
                <w:sz w:val="22"/>
                <w:szCs w:val="22"/>
              </w:rPr>
            </w:pPr>
            <w:r w:rsidRPr="001F1937">
              <w:rPr>
                <w:rFonts w:asciiTheme="minorHAnsi" w:hAnsiTheme="minorHAnsi" w:cstheme="minorHAnsi"/>
                <w:sz w:val="22"/>
                <w:szCs w:val="22"/>
              </w:rPr>
              <w:t>Tabela nr 2</w:t>
            </w:r>
            <w:r w:rsidR="00206264">
              <w:rPr>
                <w:rFonts w:asciiTheme="minorHAnsi" w:hAnsiTheme="minorHAnsi" w:cstheme="minorHAnsi"/>
                <w:sz w:val="22"/>
                <w:szCs w:val="22"/>
              </w:rPr>
              <w:t>, str. 28</w:t>
            </w:r>
          </w:p>
        </w:tc>
        <w:tc>
          <w:tcPr>
            <w:tcW w:w="4678" w:type="dxa"/>
            <w:shd w:val="clear" w:color="auto" w:fill="auto"/>
          </w:tcPr>
          <w:p w14:paraId="076848FB" w14:textId="77777777" w:rsidR="001F1937" w:rsidRPr="00F6485A" w:rsidRDefault="001F1937" w:rsidP="00FF6064">
            <w:pPr>
              <w:rPr>
                <w:rFonts w:asciiTheme="minorHAnsi" w:hAnsiTheme="minorHAnsi" w:cstheme="minorHAnsi"/>
                <w:sz w:val="22"/>
                <w:szCs w:val="22"/>
              </w:rPr>
            </w:pPr>
            <w:r w:rsidRPr="00F6485A">
              <w:rPr>
                <w:rFonts w:asciiTheme="minorHAnsi" w:hAnsiTheme="minorHAnsi" w:cstheme="minorHAnsi"/>
                <w:sz w:val="22"/>
                <w:szCs w:val="22"/>
              </w:rPr>
              <w:t xml:space="preserve">W tabeli nr 2 wskazano, że wskaźnikiem produktu w Programie będzie liczba lokali mieszkalnych „dysponujących szerokopasmowym dostępem do sieci o bardzo wysokiej przepustowości”. W samym dokumencie, w części opisowej, na str. </w:t>
            </w:r>
            <w:r w:rsidRPr="00F6485A">
              <w:rPr>
                <w:rFonts w:asciiTheme="minorHAnsi" w:hAnsiTheme="minorHAnsi" w:cstheme="minorHAnsi"/>
                <w:sz w:val="22"/>
                <w:szCs w:val="22"/>
              </w:rPr>
              <w:lastRenderedPageBreak/>
              <w:t>24, posłużono się natomiast wyrażeniem „Interwencja umożliwi objęcie zasięgiem gospodarstw domowych (rozumianych jako lokale mieszkalne) oraz przedsiębiorstw siecią o przepustowości co najmniej 100 Mb/s…”, które jest znane z dotychczasowych dokumentów programowych i zwartych w nich wskaźnikach. Zasadnym jest posługiwanie się w projekcie Programu – zarówno w części opisowej, jak i w tabelach jednolitymi pojęciami a w przypadku wskaźników szczególnie istotne jest ich precyzyjne i jednoznaczne określenie. Proponuje się zatem zastąpienie wyrazu „dysponujący” wyrazami „objęty zasięgiem”.</w:t>
            </w:r>
          </w:p>
        </w:tc>
        <w:tc>
          <w:tcPr>
            <w:tcW w:w="5812" w:type="dxa"/>
            <w:shd w:val="clear" w:color="auto" w:fill="auto"/>
          </w:tcPr>
          <w:p w14:paraId="46C47703" w14:textId="2A470969" w:rsidR="001F1937" w:rsidRPr="00F6485A" w:rsidRDefault="005C5CAF" w:rsidP="005C5CAF">
            <w:pPr>
              <w:rPr>
                <w:rFonts w:asciiTheme="minorHAnsi" w:hAnsiTheme="minorHAnsi" w:cstheme="minorHAnsi"/>
                <w:sz w:val="22"/>
                <w:szCs w:val="22"/>
              </w:rPr>
            </w:pPr>
            <w:r w:rsidRPr="00F6485A">
              <w:rPr>
                <w:rFonts w:asciiTheme="minorHAnsi" w:hAnsiTheme="minorHAnsi" w:cstheme="minorHAnsi"/>
                <w:sz w:val="22"/>
                <w:szCs w:val="22"/>
              </w:rPr>
              <w:lastRenderedPageBreak/>
              <w:t xml:space="preserve">Proponowana nazwa </w:t>
            </w:r>
            <w:r w:rsidR="001F1937" w:rsidRPr="00F6485A">
              <w:rPr>
                <w:rFonts w:asciiTheme="minorHAnsi" w:hAnsiTheme="minorHAnsi" w:cstheme="minorHAnsi"/>
                <w:sz w:val="22"/>
                <w:szCs w:val="22"/>
              </w:rPr>
              <w:t>wskaźnika – „Dodatkowe lokale mieszkalne/przedsiębiorstwa objęte zasięgiem sieci telekomunikacyjnej o bardzo dużej przepustowości”</w:t>
            </w:r>
          </w:p>
        </w:tc>
        <w:tc>
          <w:tcPr>
            <w:tcW w:w="1359" w:type="dxa"/>
          </w:tcPr>
          <w:p w14:paraId="7A167FE9" w14:textId="77777777" w:rsidR="001F1937" w:rsidRPr="001F1937" w:rsidRDefault="001F1937" w:rsidP="007771B4">
            <w:pPr>
              <w:jc w:val="center"/>
              <w:rPr>
                <w:rFonts w:asciiTheme="minorHAnsi" w:hAnsiTheme="minorHAnsi" w:cstheme="minorHAnsi"/>
                <w:sz w:val="22"/>
                <w:szCs w:val="22"/>
              </w:rPr>
            </w:pPr>
          </w:p>
        </w:tc>
      </w:tr>
      <w:tr w:rsidR="00FF6064" w:rsidRPr="001F1937" w14:paraId="18E5DBE5" w14:textId="77777777" w:rsidTr="00A06425">
        <w:tc>
          <w:tcPr>
            <w:tcW w:w="562" w:type="dxa"/>
            <w:shd w:val="clear" w:color="auto" w:fill="auto"/>
          </w:tcPr>
          <w:p w14:paraId="4D03BA84" w14:textId="57D7834F" w:rsidR="00FF6064" w:rsidRPr="00F6485A" w:rsidRDefault="001F1937" w:rsidP="007771B4">
            <w:pPr>
              <w:rPr>
                <w:rFonts w:asciiTheme="minorHAnsi" w:hAnsiTheme="minorHAnsi" w:cstheme="minorHAnsi"/>
                <w:b/>
                <w:sz w:val="22"/>
                <w:szCs w:val="22"/>
              </w:rPr>
            </w:pPr>
            <w:r w:rsidRPr="00F6485A">
              <w:rPr>
                <w:rFonts w:asciiTheme="minorHAnsi" w:hAnsiTheme="minorHAnsi" w:cstheme="minorHAnsi"/>
                <w:b/>
                <w:sz w:val="22"/>
                <w:szCs w:val="22"/>
              </w:rPr>
              <w:t>1</w:t>
            </w:r>
            <w:r w:rsidR="0005289D" w:rsidRPr="00F6485A">
              <w:rPr>
                <w:rFonts w:asciiTheme="minorHAnsi" w:hAnsiTheme="minorHAnsi" w:cstheme="minorHAnsi"/>
                <w:b/>
                <w:sz w:val="22"/>
                <w:szCs w:val="22"/>
              </w:rPr>
              <w:t>2</w:t>
            </w:r>
          </w:p>
        </w:tc>
        <w:tc>
          <w:tcPr>
            <w:tcW w:w="1134" w:type="dxa"/>
            <w:shd w:val="clear" w:color="auto" w:fill="auto"/>
          </w:tcPr>
          <w:p w14:paraId="23172D6D" w14:textId="0A7B957F" w:rsidR="00FF6064" w:rsidRPr="00F6485A" w:rsidRDefault="00FF6064" w:rsidP="0005289D">
            <w:pPr>
              <w:rPr>
                <w:rFonts w:asciiTheme="minorHAnsi" w:hAnsiTheme="minorHAnsi" w:cstheme="minorHAnsi"/>
                <w:sz w:val="22"/>
                <w:szCs w:val="22"/>
              </w:rPr>
            </w:pPr>
            <w:r w:rsidRPr="00F6485A">
              <w:rPr>
                <w:rFonts w:asciiTheme="minorHAnsi" w:hAnsiTheme="minorHAnsi" w:cstheme="minorHAnsi"/>
                <w:sz w:val="22"/>
                <w:szCs w:val="22"/>
              </w:rPr>
              <w:t>M</w:t>
            </w:r>
            <w:r w:rsidRPr="00F6485A">
              <w:rPr>
                <w:rFonts w:asciiTheme="minorHAnsi" w:hAnsiTheme="minorHAnsi" w:cstheme="minorHAnsi"/>
                <w:b/>
                <w:sz w:val="22"/>
                <w:szCs w:val="22"/>
              </w:rPr>
              <w:t>C</w:t>
            </w:r>
          </w:p>
        </w:tc>
        <w:tc>
          <w:tcPr>
            <w:tcW w:w="1843" w:type="dxa"/>
            <w:shd w:val="clear" w:color="auto" w:fill="auto"/>
          </w:tcPr>
          <w:p w14:paraId="4B366F69" w14:textId="4B44A8E4" w:rsidR="00FF6064" w:rsidRPr="00F6485A" w:rsidRDefault="00FF6064" w:rsidP="00206264">
            <w:pPr>
              <w:rPr>
                <w:rFonts w:asciiTheme="minorHAnsi" w:hAnsiTheme="minorHAnsi" w:cstheme="minorHAnsi"/>
                <w:sz w:val="22"/>
                <w:szCs w:val="22"/>
              </w:rPr>
            </w:pPr>
            <w:r w:rsidRPr="00F6485A">
              <w:rPr>
                <w:rFonts w:asciiTheme="minorHAnsi" w:hAnsiTheme="minorHAnsi" w:cstheme="minorHAnsi"/>
                <w:sz w:val="22"/>
                <w:szCs w:val="22"/>
              </w:rPr>
              <w:t>Priorytet 1</w:t>
            </w:r>
            <w:r w:rsidR="00206264" w:rsidRPr="00F6485A">
              <w:rPr>
                <w:rFonts w:asciiTheme="minorHAnsi" w:hAnsiTheme="minorHAnsi" w:cstheme="minorHAnsi"/>
                <w:sz w:val="22"/>
                <w:szCs w:val="22"/>
              </w:rPr>
              <w:t>, s</w:t>
            </w:r>
            <w:r w:rsidR="001A2E8B" w:rsidRPr="00F6485A">
              <w:rPr>
                <w:rFonts w:asciiTheme="minorHAnsi" w:hAnsiTheme="minorHAnsi" w:cstheme="minorHAnsi"/>
                <w:sz w:val="22"/>
                <w:szCs w:val="22"/>
              </w:rPr>
              <w:t>tr. 22</w:t>
            </w:r>
          </w:p>
        </w:tc>
        <w:tc>
          <w:tcPr>
            <w:tcW w:w="4678" w:type="dxa"/>
            <w:shd w:val="clear" w:color="auto" w:fill="auto"/>
          </w:tcPr>
          <w:p w14:paraId="025CED8F" w14:textId="14EE42E0" w:rsidR="00FF6064" w:rsidRPr="00F6485A" w:rsidRDefault="00206264" w:rsidP="00FF6064">
            <w:pPr>
              <w:rPr>
                <w:rFonts w:asciiTheme="minorHAnsi" w:hAnsiTheme="minorHAnsi" w:cstheme="minorHAnsi"/>
                <w:sz w:val="22"/>
                <w:szCs w:val="22"/>
              </w:rPr>
            </w:pPr>
            <w:r w:rsidRPr="00F6485A">
              <w:rPr>
                <w:rFonts w:asciiTheme="minorHAnsi" w:hAnsiTheme="minorHAnsi" w:cstheme="minorHAnsi"/>
                <w:sz w:val="22"/>
                <w:szCs w:val="22"/>
              </w:rPr>
              <w:t>Z</w:t>
            </w:r>
            <w:r w:rsidR="00FF6064" w:rsidRPr="00F6485A">
              <w:rPr>
                <w:rFonts w:asciiTheme="minorHAnsi" w:hAnsiTheme="minorHAnsi" w:cstheme="minorHAnsi"/>
                <w:sz w:val="22"/>
                <w:szCs w:val="22"/>
              </w:rPr>
              <w:t xml:space="preserve"> projektu Programu nie wynika, czy koszty przyłącza abonenckiego będą podlegały wsparciu ze środków Programu. Mając na uwadze doświadczenia z realizacji projektów POPC w latach 2014-2020 kwestia ta ma kluczowe znaczenie dla przyszłych beneficjentów a także dla oceny skuteczności interwencji realizowanych ze środków Programu. Zasadnym jest, by już na etapie przygotowywania Programu kwestia ta została rozstrzygnięta. Kwestia możliwości dofinansowania przyłącza będzie miała niebagatelny wpływ na projektowanie przyszłych konkursów ze środków Programu i podział dostępnej alokacji.</w:t>
            </w:r>
          </w:p>
        </w:tc>
        <w:tc>
          <w:tcPr>
            <w:tcW w:w="5812" w:type="dxa"/>
            <w:shd w:val="clear" w:color="auto" w:fill="auto"/>
          </w:tcPr>
          <w:p w14:paraId="42123554" w14:textId="77777777" w:rsidR="00FF6064" w:rsidRPr="00F6485A" w:rsidRDefault="00FF6064" w:rsidP="007771B4">
            <w:pPr>
              <w:rPr>
                <w:rFonts w:asciiTheme="minorHAnsi" w:hAnsiTheme="minorHAnsi" w:cstheme="minorHAnsi"/>
                <w:sz w:val="22"/>
                <w:szCs w:val="22"/>
              </w:rPr>
            </w:pPr>
            <w:r w:rsidRPr="00F6485A">
              <w:rPr>
                <w:rFonts w:asciiTheme="minorHAnsi" w:hAnsiTheme="minorHAnsi" w:cstheme="minorHAnsi"/>
                <w:sz w:val="22"/>
                <w:szCs w:val="22"/>
              </w:rPr>
              <w:t>Proponuje się wskazać, czy koszty przyłącza abonenckiego będą podlegały dofinansowaniu.</w:t>
            </w:r>
          </w:p>
        </w:tc>
        <w:tc>
          <w:tcPr>
            <w:tcW w:w="1359" w:type="dxa"/>
          </w:tcPr>
          <w:p w14:paraId="4F94C211" w14:textId="77777777" w:rsidR="00FF6064" w:rsidRPr="001F1937" w:rsidRDefault="00FF6064" w:rsidP="007771B4">
            <w:pPr>
              <w:jc w:val="center"/>
              <w:rPr>
                <w:rFonts w:asciiTheme="minorHAnsi" w:hAnsiTheme="minorHAnsi" w:cstheme="minorHAnsi"/>
                <w:sz w:val="22"/>
                <w:szCs w:val="22"/>
              </w:rPr>
            </w:pPr>
          </w:p>
        </w:tc>
      </w:tr>
      <w:tr w:rsidR="00FF6064" w:rsidRPr="001F1937" w14:paraId="2D1467CE" w14:textId="77777777" w:rsidTr="00A06425">
        <w:tc>
          <w:tcPr>
            <w:tcW w:w="562" w:type="dxa"/>
            <w:shd w:val="clear" w:color="auto" w:fill="auto"/>
          </w:tcPr>
          <w:p w14:paraId="4531B23D" w14:textId="4222CC6E" w:rsidR="00FF6064" w:rsidRPr="00DE373C" w:rsidRDefault="001F1937" w:rsidP="00FF6064">
            <w:pPr>
              <w:rPr>
                <w:rFonts w:asciiTheme="minorHAnsi" w:hAnsiTheme="minorHAnsi" w:cstheme="minorHAnsi"/>
                <w:b/>
                <w:sz w:val="22"/>
                <w:szCs w:val="22"/>
              </w:rPr>
            </w:pPr>
            <w:r w:rsidRPr="00DE373C">
              <w:rPr>
                <w:rFonts w:asciiTheme="minorHAnsi" w:hAnsiTheme="minorHAnsi" w:cstheme="minorHAnsi"/>
                <w:b/>
                <w:sz w:val="22"/>
                <w:szCs w:val="22"/>
              </w:rPr>
              <w:t>1</w:t>
            </w:r>
            <w:r w:rsidR="0005289D" w:rsidRPr="00DE373C">
              <w:rPr>
                <w:rFonts w:asciiTheme="minorHAnsi" w:hAnsiTheme="minorHAnsi" w:cstheme="minorHAnsi"/>
                <w:b/>
                <w:sz w:val="22"/>
                <w:szCs w:val="22"/>
              </w:rPr>
              <w:t>3</w:t>
            </w:r>
          </w:p>
        </w:tc>
        <w:tc>
          <w:tcPr>
            <w:tcW w:w="1134" w:type="dxa"/>
            <w:shd w:val="clear" w:color="auto" w:fill="auto"/>
          </w:tcPr>
          <w:p w14:paraId="1E8FA408" w14:textId="4C0960A4" w:rsidR="00FF6064" w:rsidRPr="00DE373C" w:rsidRDefault="00FF6064" w:rsidP="00FF6064">
            <w:pPr>
              <w:rPr>
                <w:rFonts w:asciiTheme="minorHAnsi" w:hAnsiTheme="minorHAnsi" w:cstheme="minorHAnsi"/>
                <w:b/>
                <w:sz w:val="22"/>
                <w:szCs w:val="22"/>
              </w:rPr>
            </w:pPr>
            <w:r w:rsidRPr="00DE373C">
              <w:rPr>
                <w:rFonts w:asciiTheme="minorHAnsi" w:hAnsiTheme="minorHAnsi" w:cstheme="minorHAnsi"/>
                <w:b/>
                <w:sz w:val="22"/>
                <w:szCs w:val="22"/>
              </w:rPr>
              <w:t>MC</w:t>
            </w:r>
          </w:p>
        </w:tc>
        <w:tc>
          <w:tcPr>
            <w:tcW w:w="1843" w:type="dxa"/>
            <w:shd w:val="clear" w:color="auto" w:fill="auto"/>
          </w:tcPr>
          <w:p w14:paraId="07948088" w14:textId="1ECD54C3" w:rsidR="00FF6064" w:rsidRPr="00DE373C" w:rsidRDefault="001166CB" w:rsidP="00FF6064">
            <w:pPr>
              <w:rPr>
                <w:rFonts w:asciiTheme="minorHAnsi" w:hAnsiTheme="minorHAnsi" w:cstheme="minorHAnsi"/>
                <w:sz w:val="22"/>
                <w:szCs w:val="22"/>
              </w:rPr>
            </w:pPr>
            <w:r w:rsidRPr="00DE373C">
              <w:rPr>
                <w:rFonts w:asciiTheme="minorHAnsi" w:hAnsiTheme="minorHAnsi" w:cstheme="minorHAnsi"/>
                <w:sz w:val="22"/>
                <w:szCs w:val="22"/>
              </w:rPr>
              <w:t>Priorytet 1, s</w:t>
            </w:r>
            <w:r w:rsidR="00FF6064" w:rsidRPr="00DE373C">
              <w:rPr>
                <w:rFonts w:asciiTheme="minorHAnsi" w:hAnsiTheme="minorHAnsi" w:cstheme="minorHAnsi"/>
                <w:sz w:val="22"/>
                <w:szCs w:val="22"/>
              </w:rPr>
              <w:t>tr. 23</w:t>
            </w:r>
          </w:p>
        </w:tc>
        <w:tc>
          <w:tcPr>
            <w:tcW w:w="4678" w:type="dxa"/>
            <w:shd w:val="clear" w:color="auto" w:fill="auto"/>
          </w:tcPr>
          <w:p w14:paraId="671388AB" w14:textId="172EFE50" w:rsidR="00FF6064" w:rsidRPr="00F6485A" w:rsidRDefault="005C5CAF" w:rsidP="00FF6064">
            <w:pPr>
              <w:rPr>
                <w:rFonts w:asciiTheme="minorHAnsi" w:hAnsiTheme="minorHAnsi" w:cstheme="minorHAnsi"/>
                <w:sz w:val="22"/>
                <w:szCs w:val="22"/>
              </w:rPr>
            </w:pPr>
            <w:r w:rsidRPr="00F6485A">
              <w:rPr>
                <w:rFonts w:asciiTheme="minorHAnsi" w:hAnsiTheme="minorHAnsi" w:cstheme="minorHAnsi"/>
                <w:sz w:val="22"/>
                <w:szCs w:val="22"/>
              </w:rPr>
              <w:t>Zasadne jest uzupełnienie w</w:t>
            </w:r>
            <w:r w:rsidR="00FF6064" w:rsidRPr="00F6485A">
              <w:rPr>
                <w:rFonts w:asciiTheme="minorHAnsi" w:hAnsiTheme="minorHAnsi" w:cstheme="minorHAnsi"/>
                <w:sz w:val="22"/>
                <w:szCs w:val="22"/>
              </w:rPr>
              <w:t xml:space="preserve"> akapicie pierwszym zdania dot. projektowania interwencji o zgłoszenia od mieszkańców. </w:t>
            </w:r>
          </w:p>
          <w:p w14:paraId="736EE8DA" w14:textId="77777777" w:rsidR="00FF6064" w:rsidRPr="00F6485A" w:rsidRDefault="00FF6064" w:rsidP="00FF6064">
            <w:pPr>
              <w:rPr>
                <w:rFonts w:asciiTheme="minorHAnsi" w:hAnsiTheme="minorHAnsi" w:cstheme="minorHAnsi"/>
                <w:sz w:val="22"/>
                <w:szCs w:val="22"/>
              </w:rPr>
            </w:pPr>
          </w:p>
        </w:tc>
        <w:tc>
          <w:tcPr>
            <w:tcW w:w="5812" w:type="dxa"/>
            <w:shd w:val="clear" w:color="auto" w:fill="auto"/>
          </w:tcPr>
          <w:p w14:paraId="40FE5228" w14:textId="77777777" w:rsidR="00206264" w:rsidRPr="00F6485A" w:rsidRDefault="00206264" w:rsidP="00FF6064">
            <w:pPr>
              <w:rPr>
                <w:rFonts w:asciiTheme="minorHAnsi" w:hAnsiTheme="minorHAnsi" w:cstheme="minorHAnsi"/>
                <w:sz w:val="22"/>
                <w:szCs w:val="22"/>
              </w:rPr>
            </w:pPr>
            <w:r w:rsidRPr="00F6485A">
              <w:rPr>
                <w:rFonts w:asciiTheme="minorHAnsi" w:hAnsiTheme="minorHAnsi" w:cstheme="minorHAnsi"/>
                <w:sz w:val="22"/>
                <w:szCs w:val="22"/>
              </w:rPr>
              <w:t>Proponuje się nadanie brzmienia:</w:t>
            </w:r>
          </w:p>
          <w:p w14:paraId="00E7E025" w14:textId="77A2A98F" w:rsidR="00FF6064" w:rsidRPr="00F6485A" w:rsidRDefault="00FF6064" w:rsidP="00FF6064">
            <w:pPr>
              <w:rPr>
                <w:rFonts w:asciiTheme="minorHAnsi" w:hAnsiTheme="minorHAnsi" w:cstheme="minorHAnsi"/>
                <w:sz w:val="22"/>
                <w:szCs w:val="22"/>
              </w:rPr>
            </w:pPr>
            <w:r w:rsidRPr="00F6485A">
              <w:rPr>
                <w:rFonts w:asciiTheme="minorHAnsi" w:hAnsiTheme="minorHAnsi" w:cstheme="minorHAnsi"/>
                <w:sz w:val="22"/>
                <w:szCs w:val="22"/>
              </w:rPr>
              <w:t>„W projektowaniu interwencji dopuszcza się także uwzględnienie potrzeb zdiagnozowanych i zgłaszanych przez JST oraz przez mieszkańców.”.</w:t>
            </w:r>
          </w:p>
        </w:tc>
        <w:tc>
          <w:tcPr>
            <w:tcW w:w="1359" w:type="dxa"/>
          </w:tcPr>
          <w:p w14:paraId="5A8EA31D" w14:textId="77777777" w:rsidR="00FF6064" w:rsidRPr="001F1937" w:rsidRDefault="00FF6064" w:rsidP="00FF6064">
            <w:pPr>
              <w:jc w:val="center"/>
              <w:rPr>
                <w:rFonts w:asciiTheme="minorHAnsi" w:hAnsiTheme="minorHAnsi" w:cstheme="minorHAnsi"/>
                <w:sz w:val="22"/>
                <w:szCs w:val="22"/>
              </w:rPr>
            </w:pPr>
          </w:p>
        </w:tc>
      </w:tr>
      <w:tr w:rsidR="00FF6064" w:rsidRPr="001F1937" w14:paraId="44C628A6" w14:textId="77777777" w:rsidTr="00A06425">
        <w:tc>
          <w:tcPr>
            <w:tcW w:w="562" w:type="dxa"/>
            <w:shd w:val="clear" w:color="auto" w:fill="auto"/>
          </w:tcPr>
          <w:p w14:paraId="02DF07BB" w14:textId="463986DE" w:rsidR="00FF6064" w:rsidRPr="00DE373C" w:rsidRDefault="001F1937" w:rsidP="00FF6064">
            <w:pPr>
              <w:rPr>
                <w:rFonts w:asciiTheme="minorHAnsi" w:hAnsiTheme="minorHAnsi" w:cstheme="minorHAnsi"/>
                <w:b/>
                <w:sz w:val="22"/>
                <w:szCs w:val="22"/>
              </w:rPr>
            </w:pPr>
            <w:r w:rsidRPr="00DE373C">
              <w:rPr>
                <w:rFonts w:asciiTheme="minorHAnsi" w:hAnsiTheme="minorHAnsi" w:cstheme="minorHAnsi"/>
                <w:b/>
                <w:sz w:val="22"/>
                <w:szCs w:val="22"/>
              </w:rPr>
              <w:t>1</w:t>
            </w:r>
            <w:r w:rsidR="0005289D" w:rsidRPr="00DE373C">
              <w:rPr>
                <w:rFonts w:asciiTheme="minorHAnsi" w:hAnsiTheme="minorHAnsi" w:cstheme="minorHAnsi"/>
                <w:b/>
                <w:sz w:val="22"/>
                <w:szCs w:val="22"/>
              </w:rPr>
              <w:t>4</w:t>
            </w:r>
          </w:p>
        </w:tc>
        <w:tc>
          <w:tcPr>
            <w:tcW w:w="1134" w:type="dxa"/>
            <w:shd w:val="clear" w:color="auto" w:fill="auto"/>
          </w:tcPr>
          <w:p w14:paraId="413845C2" w14:textId="6B130A8F" w:rsidR="00FF6064" w:rsidRPr="00DE373C" w:rsidRDefault="00FF6064" w:rsidP="00FF6064">
            <w:pPr>
              <w:rPr>
                <w:rFonts w:asciiTheme="minorHAnsi" w:hAnsiTheme="minorHAnsi" w:cstheme="minorHAnsi"/>
                <w:b/>
                <w:sz w:val="22"/>
                <w:szCs w:val="22"/>
              </w:rPr>
            </w:pPr>
            <w:r w:rsidRPr="00DE373C">
              <w:rPr>
                <w:rFonts w:asciiTheme="minorHAnsi" w:hAnsiTheme="minorHAnsi" w:cstheme="minorHAnsi"/>
                <w:b/>
                <w:sz w:val="22"/>
                <w:szCs w:val="22"/>
              </w:rPr>
              <w:t>MC</w:t>
            </w:r>
          </w:p>
        </w:tc>
        <w:tc>
          <w:tcPr>
            <w:tcW w:w="1843" w:type="dxa"/>
            <w:shd w:val="clear" w:color="auto" w:fill="auto"/>
          </w:tcPr>
          <w:p w14:paraId="26D8FF7E" w14:textId="53D00E03" w:rsidR="00FF6064" w:rsidRPr="00DE373C" w:rsidRDefault="001166CB" w:rsidP="00FF6064">
            <w:pPr>
              <w:rPr>
                <w:rFonts w:asciiTheme="minorHAnsi" w:hAnsiTheme="minorHAnsi" w:cstheme="minorHAnsi"/>
                <w:sz w:val="22"/>
                <w:szCs w:val="22"/>
              </w:rPr>
            </w:pPr>
            <w:r w:rsidRPr="00DE373C">
              <w:rPr>
                <w:rFonts w:asciiTheme="minorHAnsi" w:hAnsiTheme="minorHAnsi" w:cstheme="minorHAnsi"/>
                <w:sz w:val="22"/>
                <w:szCs w:val="22"/>
              </w:rPr>
              <w:t>Priorytet 1,</w:t>
            </w:r>
            <w:r w:rsidR="00DE373C">
              <w:rPr>
                <w:rFonts w:asciiTheme="minorHAnsi" w:hAnsiTheme="minorHAnsi" w:cstheme="minorHAnsi"/>
                <w:sz w:val="22"/>
                <w:szCs w:val="22"/>
              </w:rPr>
              <w:t xml:space="preserve"> </w:t>
            </w:r>
            <w:r w:rsidRPr="00DE373C">
              <w:rPr>
                <w:rFonts w:asciiTheme="minorHAnsi" w:hAnsiTheme="minorHAnsi" w:cstheme="minorHAnsi"/>
                <w:sz w:val="22"/>
                <w:szCs w:val="22"/>
              </w:rPr>
              <w:t>s</w:t>
            </w:r>
            <w:r w:rsidR="00FF6064" w:rsidRPr="00DE373C">
              <w:rPr>
                <w:rFonts w:asciiTheme="minorHAnsi" w:hAnsiTheme="minorHAnsi" w:cstheme="minorHAnsi"/>
                <w:sz w:val="22"/>
                <w:szCs w:val="22"/>
              </w:rPr>
              <w:t xml:space="preserve">tr. 24 </w:t>
            </w:r>
          </w:p>
        </w:tc>
        <w:tc>
          <w:tcPr>
            <w:tcW w:w="4678" w:type="dxa"/>
            <w:shd w:val="clear" w:color="auto" w:fill="auto"/>
          </w:tcPr>
          <w:p w14:paraId="126874A4" w14:textId="77777777" w:rsidR="005C5CAF" w:rsidRPr="00DE373C" w:rsidRDefault="005C5CAF" w:rsidP="00FF6064">
            <w:pPr>
              <w:rPr>
                <w:rFonts w:asciiTheme="minorHAnsi" w:hAnsiTheme="minorHAnsi" w:cstheme="minorHAnsi"/>
                <w:sz w:val="22"/>
                <w:szCs w:val="22"/>
              </w:rPr>
            </w:pPr>
            <w:r w:rsidRPr="00DE373C">
              <w:rPr>
                <w:rFonts w:asciiTheme="minorHAnsi" w:hAnsiTheme="minorHAnsi" w:cstheme="minorHAnsi"/>
                <w:sz w:val="22"/>
                <w:szCs w:val="22"/>
              </w:rPr>
              <w:t xml:space="preserve">W </w:t>
            </w:r>
            <w:r w:rsidR="00FF6064" w:rsidRPr="00DE373C">
              <w:rPr>
                <w:rFonts w:asciiTheme="minorHAnsi" w:hAnsiTheme="minorHAnsi" w:cstheme="minorHAnsi"/>
                <w:sz w:val="22"/>
                <w:szCs w:val="22"/>
              </w:rPr>
              <w:t xml:space="preserve">opisie </w:t>
            </w:r>
            <w:r w:rsidRPr="00DE373C">
              <w:rPr>
                <w:rFonts w:asciiTheme="minorHAnsi" w:hAnsiTheme="minorHAnsi" w:cstheme="minorHAnsi"/>
                <w:sz w:val="22"/>
                <w:szCs w:val="22"/>
              </w:rPr>
              <w:t xml:space="preserve">priorytetu </w:t>
            </w:r>
            <w:r w:rsidR="00FF6064" w:rsidRPr="00DE373C">
              <w:rPr>
                <w:rFonts w:asciiTheme="minorHAnsi" w:hAnsiTheme="minorHAnsi" w:cstheme="minorHAnsi"/>
                <w:sz w:val="22"/>
                <w:szCs w:val="22"/>
              </w:rPr>
              <w:t xml:space="preserve">powinno wyraźnie zostać podkreślone, że w ramach przyszłych inwestycji szczególne znaczenie będzie miało uwzględnianie w projektach istniejącej infrastruktury telekomunikacyjnej, jak i technicznej. W opinii UKE w Programie wyraźnie powinno być wskazane, że priorytetem dla oceny przyszłych </w:t>
            </w:r>
            <w:r w:rsidR="00FF6064" w:rsidRPr="00DE373C">
              <w:rPr>
                <w:rFonts w:asciiTheme="minorHAnsi" w:hAnsiTheme="minorHAnsi" w:cstheme="minorHAnsi"/>
                <w:sz w:val="22"/>
                <w:szCs w:val="22"/>
              </w:rPr>
              <w:lastRenderedPageBreak/>
              <w:t>projektów będzie wykorzystywanie istniejącej infrastruktury – zarówno technicznej, jak i telekomunikacyjnej.</w:t>
            </w:r>
            <w:r w:rsidRPr="00DE373C">
              <w:rPr>
                <w:rFonts w:asciiTheme="minorHAnsi" w:hAnsiTheme="minorHAnsi" w:cstheme="minorHAnsi"/>
                <w:sz w:val="22"/>
                <w:szCs w:val="22"/>
              </w:rPr>
              <w:t xml:space="preserve"> </w:t>
            </w:r>
          </w:p>
          <w:p w14:paraId="6DCE5159" w14:textId="4C4F65F5" w:rsidR="00FF6064" w:rsidRPr="00DE373C" w:rsidRDefault="005C5CAF" w:rsidP="00FF6064">
            <w:pPr>
              <w:rPr>
                <w:rFonts w:asciiTheme="minorHAnsi" w:hAnsiTheme="minorHAnsi" w:cstheme="minorHAnsi"/>
                <w:sz w:val="22"/>
                <w:szCs w:val="22"/>
              </w:rPr>
            </w:pPr>
            <w:r w:rsidRPr="00DE373C">
              <w:rPr>
                <w:rFonts w:asciiTheme="minorHAnsi" w:hAnsiTheme="minorHAnsi" w:cstheme="minorHAnsi"/>
                <w:sz w:val="22"/>
                <w:szCs w:val="22"/>
              </w:rPr>
              <w:t>Proponuje się uzupełnić w zakresie wykorzystywania istniejącej infrastruktury technicznej i telekomunikacyjnej.</w:t>
            </w:r>
          </w:p>
        </w:tc>
        <w:tc>
          <w:tcPr>
            <w:tcW w:w="5812" w:type="dxa"/>
            <w:shd w:val="clear" w:color="auto" w:fill="auto"/>
          </w:tcPr>
          <w:p w14:paraId="1F13B59A" w14:textId="28C5EADC" w:rsidR="00FF6064" w:rsidRPr="001F1937" w:rsidRDefault="00FF6064" w:rsidP="00FF6064">
            <w:pPr>
              <w:rPr>
                <w:rFonts w:asciiTheme="minorHAnsi" w:hAnsiTheme="minorHAnsi" w:cstheme="minorHAnsi"/>
                <w:sz w:val="22"/>
                <w:szCs w:val="22"/>
              </w:rPr>
            </w:pPr>
          </w:p>
        </w:tc>
        <w:tc>
          <w:tcPr>
            <w:tcW w:w="1359" w:type="dxa"/>
          </w:tcPr>
          <w:p w14:paraId="522A8892" w14:textId="77777777" w:rsidR="00FF6064" w:rsidRPr="001F1937" w:rsidRDefault="00FF6064" w:rsidP="00FF6064">
            <w:pPr>
              <w:jc w:val="center"/>
              <w:rPr>
                <w:rFonts w:asciiTheme="minorHAnsi" w:hAnsiTheme="minorHAnsi" w:cstheme="minorHAnsi"/>
                <w:sz w:val="22"/>
                <w:szCs w:val="22"/>
              </w:rPr>
            </w:pPr>
          </w:p>
        </w:tc>
      </w:tr>
      <w:tr w:rsidR="00FF6064" w:rsidRPr="001F1937" w14:paraId="4709A566" w14:textId="77777777" w:rsidTr="00A06425">
        <w:tc>
          <w:tcPr>
            <w:tcW w:w="562" w:type="dxa"/>
            <w:shd w:val="clear" w:color="auto" w:fill="auto"/>
          </w:tcPr>
          <w:p w14:paraId="01123975" w14:textId="2726D1F9" w:rsidR="00FF6064" w:rsidRPr="00F6485A" w:rsidRDefault="001F1937" w:rsidP="00FF6064">
            <w:pPr>
              <w:rPr>
                <w:rFonts w:asciiTheme="minorHAnsi" w:hAnsiTheme="minorHAnsi" w:cstheme="minorHAnsi"/>
                <w:b/>
                <w:sz w:val="22"/>
                <w:szCs w:val="22"/>
              </w:rPr>
            </w:pPr>
            <w:r w:rsidRPr="00F6485A">
              <w:rPr>
                <w:rFonts w:asciiTheme="minorHAnsi" w:hAnsiTheme="minorHAnsi" w:cstheme="minorHAnsi"/>
                <w:b/>
                <w:sz w:val="22"/>
                <w:szCs w:val="22"/>
              </w:rPr>
              <w:t>1</w:t>
            </w:r>
            <w:r w:rsidR="0005289D" w:rsidRPr="00F6485A">
              <w:rPr>
                <w:rFonts w:asciiTheme="minorHAnsi" w:hAnsiTheme="minorHAnsi" w:cstheme="minorHAnsi"/>
                <w:b/>
                <w:sz w:val="22"/>
                <w:szCs w:val="22"/>
              </w:rPr>
              <w:t>5</w:t>
            </w:r>
          </w:p>
        </w:tc>
        <w:tc>
          <w:tcPr>
            <w:tcW w:w="1134" w:type="dxa"/>
            <w:shd w:val="clear" w:color="auto" w:fill="auto"/>
          </w:tcPr>
          <w:p w14:paraId="3332E61E" w14:textId="1751F6B4" w:rsidR="00FF6064" w:rsidRPr="00F6485A" w:rsidRDefault="00FF6064" w:rsidP="00FF6064">
            <w:pPr>
              <w:rPr>
                <w:rFonts w:asciiTheme="minorHAnsi" w:hAnsiTheme="minorHAnsi" w:cstheme="minorHAnsi"/>
                <w:b/>
                <w:sz w:val="22"/>
                <w:szCs w:val="22"/>
              </w:rPr>
            </w:pPr>
            <w:r w:rsidRPr="00F6485A">
              <w:rPr>
                <w:rFonts w:asciiTheme="minorHAnsi" w:hAnsiTheme="minorHAnsi" w:cstheme="minorHAnsi"/>
                <w:b/>
                <w:sz w:val="22"/>
                <w:szCs w:val="22"/>
              </w:rPr>
              <w:t xml:space="preserve">MC </w:t>
            </w:r>
          </w:p>
        </w:tc>
        <w:tc>
          <w:tcPr>
            <w:tcW w:w="1843" w:type="dxa"/>
            <w:shd w:val="clear" w:color="auto" w:fill="auto"/>
          </w:tcPr>
          <w:p w14:paraId="42B2D19C" w14:textId="77777777" w:rsidR="00FF6064" w:rsidRPr="00F6485A" w:rsidRDefault="00FF6064" w:rsidP="00FF6064">
            <w:pPr>
              <w:rPr>
                <w:rFonts w:asciiTheme="minorHAnsi" w:hAnsiTheme="minorHAnsi" w:cstheme="minorHAnsi"/>
                <w:sz w:val="22"/>
                <w:szCs w:val="22"/>
              </w:rPr>
            </w:pPr>
            <w:r w:rsidRPr="00F6485A">
              <w:rPr>
                <w:rFonts w:asciiTheme="minorHAnsi" w:hAnsiTheme="minorHAnsi" w:cstheme="minorHAnsi"/>
                <w:sz w:val="22"/>
                <w:szCs w:val="22"/>
              </w:rPr>
              <w:t>Działania na rzecz zapewnienia równość, włączenia społecznego i niedyskryminacji</w:t>
            </w:r>
            <w:r w:rsidR="004B660B" w:rsidRPr="00F6485A">
              <w:rPr>
                <w:rFonts w:asciiTheme="minorHAnsi" w:hAnsiTheme="minorHAnsi" w:cstheme="minorHAnsi"/>
                <w:sz w:val="22"/>
                <w:szCs w:val="22"/>
              </w:rPr>
              <w:t>,</w:t>
            </w:r>
            <w:r w:rsidR="001A2E8B" w:rsidRPr="00F6485A">
              <w:t xml:space="preserve"> </w:t>
            </w:r>
            <w:r w:rsidR="004B660B" w:rsidRPr="00F6485A">
              <w:rPr>
                <w:rFonts w:asciiTheme="minorHAnsi" w:hAnsiTheme="minorHAnsi" w:cstheme="minorHAnsi"/>
                <w:sz w:val="22"/>
                <w:szCs w:val="22"/>
              </w:rPr>
              <w:t>s</w:t>
            </w:r>
            <w:r w:rsidR="001A2E8B" w:rsidRPr="00F6485A">
              <w:rPr>
                <w:rFonts w:asciiTheme="minorHAnsi" w:hAnsiTheme="minorHAnsi" w:cstheme="minorHAnsi"/>
                <w:sz w:val="22"/>
                <w:szCs w:val="22"/>
              </w:rPr>
              <w:t>tr. 25</w:t>
            </w:r>
          </w:p>
        </w:tc>
        <w:tc>
          <w:tcPr>
            <w:tcW w:w="4678" w:type="dxa"/>
            <w:shd w:val="clear" w:color="auto" w:fill="auto"/>
          </w:tcPr>
          <w:p w14:paraId="28D0D737" w14:textId="36ADC261" w:rsidR="00FF6064" w:rsidRPr="00F6485A" w:rsidRDefault="00FF6064" w:rsidP="00206264">
            <w:pPr>
              <w:rPr>
                <w:rFonts w:asciiTheme="minorHAnsi" w:hAnsiTheme="minorHAnsi" w:cstheme="minorHAnsi"/>
                <w:sz w:val="22"/>
                <w:szCs w:val="22"/>
              </w:rPr>
            </w:pPr>
            <w:r w:rsidRPr="00F6485A">
              <w:rPr>
                <w:rFonts w:asciiTheme="minorHAnsi" w:hAnsiTheme="minorHAnsi" w:cstheme="minorHAnsi"/>
                <w:sz w:val="22"/>
                <w:szCs w:val="22"/>
              </w:rPr>
              <w:t xml:space="preserve">W związku z </w:t>
            </w:r>
            <w:r w:rsidR="00206264" w:rsidRPr="00F6485A">
              <w:rPr>
                <w:rFonts w:asciiTheme="minorHAnsi" w:hAnsiTheme="minorHAnsi" w:cstheme="minorHAnsi"/>
                <w:sz w:val="22"/>
                <w:szCs w:val="22"/>
              </w:rPr>
              <w:t xml:space="preserve">wcześniejszą uwagą </w:t>
            </w:r>
            <w:r w:rsidRPr="00F6485A">
              <w:rPr>
                <w:rFonts w:asciiTheme="minorHAnsi" w:hAnsiTheme="minorHAnsi" w:cstheme="minorHAnsi"/>
                <w:sz w:val="22"/>
                <w:szCs w:val="22"/>
              </w:rPr>
              <w:t>proponuje się wykreślenie z akapitu czwartego na str. 25 wyrazów: „i dotyczyć będą w szczególności obszarów odległych oraz marginalizowanych”.</w:t>
            </w:r>
          </w:p>
        </w:tc>
        <w:tc>
          <w:tcPr>
            <w:tcW w:w="5812" w:type="dxa"/>
            <w:shd w:val="clear" w:color="auto" w:fill="auto"/>
          </w:tcPr>
          <w:p w14:paraId="7159B711" w14:textId="77777777" w:rsidR="00206264" w:rsidRPr="00F6485A" w:rsidRDefault="00206264" w:rsidP="00FF6064">
            <w:pPr>
              <w:rPr>
                <w:rFonts w:asciiTheme="minorHAnsi" w:hAnsiTheme="minorHAnsi" w:cstheme="minorHAnsi"/>
                <w:sz w:val="22"/>
                <w:szCs w:val="22"/>
              </w:rPr>
            </w:pPr>
            <w:r w:rsidRPr="00F6485A">
              <w:rPr>
                <w:rFonts w:asciiTheme="minorHAnsi" w:hAnsiTheme="minorHAnsi" w:cstheme="minorHAnsi"/>
                <w:sz w:val="22"/>
                <w:szCs w:val="22"/>
              </w:rPr>
              <w:t>Proponuje się nadanie brzmienia:</w:t>
            </w:r>
          </w:p>
          <w:p w14:paraId="6EDD1A64" w14:textId="77902EA0" w:rsidR="00FF6064" w:rsidRPr="00F6485A" w:rsidRDefault="00FF6064" w:rsidP="00FF6064">
            <w:pPr>
              <w:rPr>
                <w:rFonts w:asciiTheme="minorHAnsi" w:hAnsiTheme="minorHAnsi" w:cstheme="minorHAnsi"/>
                <w:sz w:val="22"/>
                <w:szCs w:val="22"/>
              </w:rPr>
            </w:pPr>
            <w:r w:rsidRPr="00F6485A">
              <w:rPr>
                <w:rFonts w:asciiTheme="minorHAnsi" w:hAnsiTheme="minorHAnsi" w:cstheme="minorHAnsi"/>
                <w:sz w:val="22"/>
                <w:szCs w:val="22"/>
              </w:rPr>
              <w:t>„Wsparcie będzie zależne od zidentyfikowanych na danym obszarze potrzeb inwestycyjnych, wynikających z ich specyficznych uwarunkowań, na którym występuje deficyt w dostępie do internetu i na którym, m.in. ze względu na brak ekonomicznej opłacalności, ww. inwestycje nie były wcześniej realizowane.”.</w:t>
            </w:r>
          </w:p>
        </w:tc>
        <w:tc>
          <w:tcPr>
            <w:tcW w:w="1359" w:type="dxa"/>
          </w:tcPr>
          <w:p w14:paraId="334A5E1F" w14:textId="77777777" w:rsidR="00FF6064" w:rsidRPr="001F1937" w:rsidRDefault="00FF6064" w:rsidP="00FF6064">
            <w:pPr>
              <w:jc w:val="center"/>
              <w:rPr>
                <w:rFonts w:asciiTheme="minorHAnsi" w:hAnsiTheme="minorHAnsi" w:cstheme="minorHAnsi"/>
                <w:sz w:val="22"/>
                <w:szCs w:val="22"/>
              </w:rPr>
            </w:pPr>
          </w:p>
        </w:tc>
      </w:tr>
      <w:tr w:rsidR="00FF6064" w:rsidRPr="00206264" w14:paraId="0AEC723C" w14:textId="77777777" w:rsidTr="00A06425">
        <w:tc>
          <w:tcPr>
            <w:tcW w:w="562" w:type="dxa"/>
            <w:shd w:val="clear" w:color="auto" w:fill="auto"/>
          </w:tcPr>
          <w:p w14:paraId="581B2799" w14:textId="3E72288A" w:rsidR="00FF6064" w:rsidRPr="00F6485A" w:rsidRDefault="001F1937" w:rsidP="00FF6064">
            <w:pPr>
              <w:rPr>
                <w:rFonts w:asciiTheme="minorHAnsi" w:hAnsiTheme="minorHAnsi" w:cstheme="minorHAnsi"/>
                <w:b/>
                <w:sz w:val="22"/>
                <w:szCs w:val="22"/>
              </w:rPr>
            </w:pPr>
            <w:bookmarkStart w:id="0" w:name="_GoBack"/>
            <w:bookmarkEnd w:id="0"/>
            <w:r w:rsidRPr="00F6485A">
              <w:rPr>
                <w:rFonts w:asciiTheme="minorHAnsi" w:hAnsiTheme="minorHAnsi" w:cstheme="minorHAnsi"/>
                <w:b/>
                <w:sz w:val="22"/>
                <w:szCs w:val="22"/>
              </w:rPr>
              <w:t>1</w:t>
            </w:r>
            <w:r w:rsidR="0005289D" w:rsidRPr="00F6485A">
              <w:rPr>
                <w:rFonts w:asciiTheme="minorHAnsi" w:hAnsiTheme="minorHAnsi" w:cstheme="minorHAnsi"/>
                <w:b/>
                <w:sz w:val="22"/>
                <w:szCs w:val="22"/>
              </w:rPr>
              <w:t>6</w:t>
            </w:r>
          </w:p>
        </w:tc>
        <w:tc>
          <w:tcPr>
            <w:tcW w:w="1134" w:type="dxa"/>
            <w:shd w:val="clear" w:color="auto" w:fill="auto"/>
          </w:tcPr>
          <w:p w14:paraId="24CB07DA" w14:textId="3C8A051C" w:rsidR="00FF6064" w:rsidRPr="00F6485A" w:rsidRDefault="00FF6064" w:rsidP="00FF6064">
            <w:pPr>
              <w:rPr>
                <w:rFonts w:asciiTheme="minorHAnsi" w:hAnsiTheme="minorHAnsi" w:cstheme="minorHAnsi"/>
                <w:b/>
                <w:sz w:val="22"/>
                <w:szCs w:val="22"/>
              </w:rPr>
            </w:pPr>
            <w:r w:rsidRPr="00F6485A">
              <w:rPr>
                <w:rFonts w:asciiTheme="minorHAnsi" w:hAnsiTheme="minorHAnsi" w:cstheme="minorHAnsi"/>
                <w:b/>
                <w:sz w:val="22"/>
                <w:szCs w:val="22"/>
              </w:rPr>
              <w:t xml:space="preserve">MC </w:t>
            </w:r>
          </w:p>
        </w:tc>
        <w:tc>
          <w:tcPr>
            <w:tcW w:w="1843" w:type="dxa"/>
            <w:shd w:val="clear" w:color="auto" w:fill="auto"/>
          </w:tcPr>
          <w:p w14:paraId="1BF905EC" w14:textId="266A5282" w:rsidR="00FF6064" w:rsidRPr="00F6485A" w:rsidRDefault="00FF6064" w:rsidP="005F1DC4">
            <w:pPr>
              <w:rPr>
                <w:rFonts w:asciiTheme="minorHAnsi" w:hAnsiTheme="minorHAnsi" w:cstheme="minorHAnsi"/>
                <w:sz w:val="22"/>
                <w:szCs w:val="22"/>
              </w:rPr>
            </w:pPr>
            <w:r w:rsidRPr="00F6485A">
              <w:rPr>
                <w:rFonts w:asciiTheme="minorHAnsi" w:hAnsiTheme="minorHAnsi" w:cstheme="minorHAnsi"/>
                <w:sz w:val="22"/>
                <w:szCs w:val="22"/>
              </w:rPr>
              <w:t>Wskazanie konkretnych terytoriów objętych wsparciem, z uwzględnieniem planowanego wykorzystania narzędzi terytorialnych</w:t>
            </w:r>
            <w:r w:rsidR="005F1DC4" w:rsidRPr="00F6485A">
              <w:rPr>
                <w:rFonts w:asciiTheme="minorHAnsi" w:hAnsiTheme="minorHAnsi" w:cstheme="minorHAnsi"/>
                <w:sz w:val="22"/>
                <w:szCs w:val="22"/>
              </w:rPr>
              <w:t>, s</w:t>
            </w:r>
            <w:r w:rsidR="001A2E8B" w:rsidRPr="00F6485A">
              <w:rPr>
                <w:rFonts w:asciiTheme="minorHAnsi" w:hAnsiTheme="minorHAnsi" w:cstheme="minorHAnsi"/>
                <w:sz w:val="22"/>
                <w:szCs w:val="22"/>
              </w:rPr>
              <w:t>tr. 26</w:t>
            </w:r>
          </w:p>
        </w:tc>
        <w:tc>
          <w:tcPr>
            <w:tcW w:w="4678" w:type="dxa"/>
            <w:shd w:val="clear" w:color="auto" w:fill="auto"/>
          </w:tcPr>
          <w:p w14:paraId="3B64EC67" w14:textId="77777777" w:rsidR="00FF6064" w:rsidRPr="00F6485A" w:rsidRDefault="00FF6064" w:rsidP="00FF6064">
            <w:pPr>
              <w:rPr>
                <w:rFonts w:asciiTheme="minorHAnsi" w:hAnsiTheme="minorHAnsi" w:cstheme="minorHAnsi"/>
                <w:sz w:val="22"/>
                <w:szCs w:val="22"/>
              </w:rPr>
            </w:pPr>
            <w:r w:rsidRPr="00F6485A">
              <w:rPr>
                <w:rFonts w:asciiTheme="minorHAnsi" w:hAnsiTheme="minorHAnsi" w:cstheme="minorHAnsi"/>
                <w:sz w:val="22"/>
                <w:szCs w:val="22"/>
              </w:rPr>
              <w:t xml:space="preserve">Odnosząc się do akapitu pierwszego zasadne jest doprecyzowanie zakresu analizy, jaką wykonać ma UKE. Dotychczas analizowano przyszłe interwencje pod kątem spodziewanego CAPEX, nie wykazywano NPV. Z zaproponowanego brzmienia wynika, że konieczne będzie szacowanie NPV luki finansowej, tak jak w POPC. UKE, zgodnie z dotychczasowymi roboczymi ustaleniami skupiał się na obliczaniu CAPEX. </w:t>
            </w:r>
          </w:p>
        </w:tc>
        <w:tc>
          <w:tcPr>
            <w:tcW w:w="5812" w:type="dxa"/>
            <w:shd w:val="clear" w:color="auto" w:fill="auto"/>
          </w:tcPr>
          <w:p w14:paraId="29CDF1B4" w14:textId="77777777" w:rsidR="00FF6064" w:rsidRPr="00F6485A" w:rsidRDefault="00FF6064" w:rsidP="00FF6064">
            <w:pPr>
              <w:rPr>
                <w:rFonts w:asciiTheme="minorHAnsi" w:hAnsiTheme="minorHAnsi" w:cstheme="minorHAnsi"/>
                <w:sz w:val="22"/>
                <w:szCs w:val="22"/>
              </w:rPr>
            </w:pPr>
            <w:r w:rsidRPr="00F6485A">
              <w:rPr>
                <w:rFonts w:asciiTheme="minorHAnsi" w:hAnsiTheme="minorHAnsi" w:cstheme="minorHAnsi"/>
                <w:sz w:val="22"/>
                <w:szCs w:val="22"/>
              </w:rPr>
              <w:t>Proponuje się doprecyzować zakres analizy, jaką wykonać ma UKE.</w:t>
            </w:r>
          </w:p>
        </w:tc>
        <w:tc>
          <w:tcPr>
            <w:tcW w:w="1359" w:type="dxa"/>
          </w:tcPr>
          <w:p w14:paraId="5CBE4867" w14:textId="77777777" w:rsidR="00FF6064" w:rsidRPr="00206264" w:rsidRDefault="00FF6064" w:rsidP="00FF6064">
            <w:pPr>
              <w:jc w:val="center"/>
              <w:rPr>
                <w:rFonts w:asciiTheme="minorHAnsi" w:hAnsiTheme="minorHAnsi" w:cstheme="minorHAnsi"/>
                <w:sz w:val="22"/>
                <w:szCs w:val="22"/>
                <w:highlight w:val="yellow"/>
              </w:rPr>
            </w:pPr>
          </w:p>
        </w:tc>
      </w:tr>
      <w:tr w:rsidR="007771B4" w:rsidRPr="001F1937" w14:paraId="39177DB1" w14:textId="77777777" w:rsidTr="00A06425">
        <w:tc>
          <w:tcPr>
            <w:tcW w:w="562" w:type="dxa"/>
            <w:shd w:val="clear" w:color="auto" w:fill="auto"/>
          </w:tcPr>
          <w:p w14:paraId="2BE720F8" w14:textId="15F2C7E2" w:rsidR="007771B4" w:rsidRPr="001F1937" w:rsidRDefault="001F1937" w:rsidP="007771B4">
            <w:pPr>
              <w:rPr>
                <w:rFonts w:asciiTheme="minorHAnsi" w:hAnsiTheme="minorHAnsi" w:cstheme="minorHAnsi"/>
                <w:b/>
                <w:sz w:val="22"/>
                <w:szCs w:val="22"/>
              </w:rPr>
            </w:pPr>
            <w:r>
              <w:rPr>
                <w:rFonts w:asciiTheme="minorHAnsi" w:hAnsiTheme="minorHAnsi" w:cstheme="minorHAnsi"/>
                <w:b/>
                <w:sz w:val="22"/>
                <w:szCs w:val="22"/>
              </w:rPr>
              <w:t>1</w:t>
            </w:r>
            <w:r w:rsidR="0005289D">
              <w:rPr>
                <w:rFonts w:asciiTheme="minorHAnsi" w:hAnsiTheme="minorHAnsi" w:cstheme="minorHAnsi"/>
                <w:b/>
                <w:sz w:val="22"/>
                <w:szCs w:val="22"/>
              </w:rPr>
              <w:t>7</w:t>
            </w:r>
          </w:p>
        </w:tc>
        <w:tc>
          <w:tcPr>
            <w:tcW w:w="1134" w:type="dxa"/>
            <w:shd w:val="clear" w:color="auto" w:fill="auto"/>
          </w:tcPr>
          <w:p w14:paraId="5CE89445" w14:textId="77777777" w:rsidR="007771B4" w:rsidRPr="00F6485A" w:rsidRDefault="007771B4" w:rsidP="0039143F">
            <w:pPr>
              <w:jc w:val="center"/>
              <w:rPr>
                <w:rFonts w:asciiTheme="minorHAnsi" w:hAnsiTheme="minorHAnsi" w:cstheme="minorHAnsi"/>
                <w:b/>
                <w:sz w:val="22"/>
                <w:szCs w:val="22"/>
              </w:rPr>
            </w:pPr>
            <w:r w:rsidRPr="00F6485A">
              <w:rPr>
                <w:rFonts w:asciiTheme="minorHAnsi" w:hAnsiTheme="minorHAnsi" w:cstheme="minorHAnsi"/>
                <w:b/>
                <w:sz w:val="22"/>
                <w:szCs w:val="22"/>
              </w:rPr>
              <w:t>MC</w:t>
            </w:r>
          </w:p>
        </w:tc>
        <w:tc>
          <w:tcPr>
            <w:tcW w:w="1843" w:type="dxa"/>
            <w:shd w:val="clear" w:color="auto" w:fill="auto"/>
          </w:tcPr>
          <w:p w14:paraId="618D1486" w14:textId="57EBFF72" w:rsidR="007771B4" w:rsidRPr="00F6485A" w:rsidRDefault="004B660B" w:rsidP="001A2E8B">
            <w:pPr>
              <w:rPr>
                <w:rFonts w:asciiTheme="minorHAnsi" w:hAnsiTheme="minorHAnsi" w:cstheme="minorHAnsi"/>
                <w:sz w:val="22"/>
                <w:szCs w:val="22"/>
              </w:rPr>
            </w:pPr>
            <w:r w:rsidRPr="00F6485A">
              <w:rPr>
                <w:rFonts w:asciiTheme="minorHAnsi" w:hAnsiTheme="minorHAnsi" w:cstheme="minorHAnsi"/>
                <w:sz w:val="22"/>
                <w:szCs w:val="22"/>
              </w:rPr>
              <w:t xml:space="preserve">Projekt </w:t>
            </w:r>
            <w:r w:rsidR="001A2E8B" w:rsidRPr="00F6485A">
              <w:rPr>
                <w:rFonts w:asciiTheme="minorHAnsi" w:hAnsiTheme="minorHAnsi" w:cstheme="minorHAnsi"/>
                <w:sz w:val="22"/>
                <w:szCs w:val="22"/>
              </w:rPr>
              <w:t>programu FERC</w:t>
            </w:r>
            <w:r w:rsidR="007771B4" w:rsidRPr="00F6485A">
              <w:rPr>
                <w:rFonts w:asciiTheme="minorHAnsi" w:hAnsiTheme="minorHAnsi" w:cstheme="minorHAnsi"/>
                <w:sz w:val="22"/>
                <w:szCs w:val="22"/>
              </w:rPr>
              <w:t>, część „Planowane wykorzystanie instrumentów finansowych”</w:t>
            </w:r>
            <w:r w:rsidR="005F1DC4" w:rsidRPr="00F6485A">
              <w:rPr>
                <w:rFonts w:asciiTheme="minorHAnsi" w:hAnsiTheme="minorHAnsi" w:cstheme="minorHAnsi"/>
                <w:sz w:val="22"/>
                <w:szCs w:val="22"/>
              </w:rPr>
              <w:t>,</w:t>
            </w:r>
            <w:r w:rsidR="001A2E8B" w:rsidRPr="00F6485A">
              <w:rPr>
                <w:rFonts w:asciiTheme="minorHAnsi" w:hAnsiTheme="minorHAnsi" w:cstheme="minorHAnsi"/>
                <w:sz w:val="22"/>
                <w:szCs w:val="22"/>
              </w:rPr>
              <w:t xml:space="preserve"> str. 27</w:t>
            </w:r>
          </w:p>
        </w:tc>
        <w:tc>
          <w:tcPr>
            <w:tcW w:w="4678" w:type="dxa"/>
            <w:shd w:val="clear" w:color="auto" w:fill="auto"/>
          </w:tcPr>
          <w:p w14:paraId="7C594360" w14:textId="1B1D8095" w:rsidR="007771B4" w:rsidRPr="00F6485A" w:rsidRDefault="007771B4" w:rsidP="00206264">
            <w:pPr>
              <w:rPr>
                <w:rFonts w:asciiTheme="minorHAnsi" w:hAnsiTheme="minorHAnsi" w:cstheme="minorHAnsi"/>
                <w:sz w:val="22"/>
                <w:szCs w:val="22"/>
              </w:rPr>
            </w:pPr>
            <w:r w:rsidRPr="00F6485A">
              <w:rPr>
                <w:rFonts w:asciiTheme="minorHAnsi" w:hAnsiTheme="minorHAnsi" w:cstheme="minorHAnsi"/>
                <w:sz w:val="22"/>
                <w:szCs w:val="22"/>
              </w:rPr>
              <w:t>Ze względu na fakt, że interwencja w ramach priorytetu I powinna być realizowana przede wszystkim na obszarach bez dostępu do internetu o przepustowości co najmniej 30 Mb/s</w:t>
            </w:r>
            <w:r w:rsidR="00206264" w:rsidRPr="00F6485A">
              <w:rPr>
                <w:rFonts w:asciiTheme="minorHAnsi" w:hAnsiTheme="minorHAnsi" w:cstheme="minorHAnsi"/>
                <w:sz w:val="22"/>
                <w:szCs w:val="22"/>
              </w:rPr>
              <w:t xml:space="preserve">, proponuje się </w:t>
            </w:r>
            <w:r w:rsidRPr="00F6485A">
              <w:rPr>
                <w:rFonts w:asciiTheme="minorHAnsi" w:hAnsiTheme="minorHAnsi" w:cstheme="minorHAnsi"/>
                <w:sz w:val="22"/>
                <w:szCs w:val="22"/>
              </w:rPr>
              <w:t>odpowiednio zaktualizować zapis dot. instrumentów finansowych w zakresie priorytetu I.</w:t>
            </w:r>
          </w:p>
        </w:tc>
        <w:tc>
          <w:tcPr>
            <w:tcW w:w="5812" w:type="dxa"/>
            <w:shd w:val="clear" w:color="auto" w:fill="auto"/>
          </w:tcPr>
          <w:p w14:paraId="077AACE5" w14:textId="55DA8FFF" w:rsidR="007771B4" w:rsidRPr="00F6485A" w:rsidRDefault="007771B4" w:rsidP="007771B4">
            <w:pPr>
              <w:rPr>
                <w:rFonts w:asciiTheme="minorHAnsi" w:hAnsiTheme="minorHAnsi" w:cstheme="minorHAnsi"/>
                <w:sz w:val="22"/>
                <w:szCs w:val="22"/>
              </w:rPr>
            </w:pPr>
          </w:p>
        </w:tc>
        <w:tc>
          <w:tcPr>
            <w:tcW w:w="1359" w:type="dxa"/>
          </w:tcPr>
          <w:p w14:paraId="084779C7" w14:textId="30C48EF2" w:rsidR="007771B4" w:rsidRPr="001F1937" w:rsidRDefault="007771B4" w:rsidP="007771B4">
            <w:pPr>
              <w:rPr>
                <w:rFonts w:asciiTheme="minorHAnsi" w:hAnsiTheme="minorHAnsi" w:cstheme="minorHAnsi"/>
                <w:sz w:val="22"/>
                <w:szCs w:val="22"/>
              </w:rPr>
            </w:pPr>
          </w:p>
        </w:tc>
      </w:tr>
      <w:tr w:rsidR="007B49B9" w:rsidRPr="001F1937" w14:paraId="08DCB673" w14:textId="77777777" w:rsidTr="00A06425">
        <w:tc>
          <w:tcPr>
            <w:tcW w:w="562" w:type="dxa"/>
            <w:shd w:val="clear" w:color="auto" w:fill="auto"/>
          </w:tcPr>
          <w:p w14:paraId="4CACDA9D" w14:textId="1DEAF23C" w:rsidR="007B49B9" w:rsidRPr="001F1937" w:rsidRDefault="00330B30" w:rsidP="00F619D7">
            <w:pPr>
              <w:spacing w:before="120" w:after="120"/>
              <w:rPr>
                <w:rFonts w:asciiTheme="minorHAnsi" w:hAnsiTheme="minorHAnsi" w:cstheme="minorHAnsi"/>
                <w:b/>
                <w:sz w:val="22"/>
                <w:szCs w:val="22"/>
              </w:rPr>
            </w:pPr>
            <w:r>
              <w:rPr>
                <w:rFonts w:asciiTheme="minorHAnsi" w:hAnsiTheme="minorHAnsi" w:cstheme="minorHAnsi"/>
                <w:b/>
                <w:sz w:val="22"/>
                <w:szCs w:val="22"/>
              </w:rPr>
              <w:t>18</w:t>
            </w:r>
          </w:p>
        </w:tc>
        <w:tc>
          <w:tcPr>
            <w:tcW w:w="1134" w:type="dxa"/>
            <w:shd w:val="clear" w:color="auto" w:fill="auto"/>
          </w:tcPr>
          <w:p w14:paraId="1E4B9AD2" w14:textId="77777777" w:rsidR="007B49B9" w:rsidRPr="001F1937" w:rsidRDefault="007B49B9"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557F1F56" w14:textId="77777777" w:rsidR="004532F9" w:rsidRPr="001F1937" w:rsidRDefault="004532F9" w:rsidP="004532F9">
            <w:pPr>
              <w:rPr>
                <w:rFonts w:asciiTheme="minorHAnsi" w:hAnsiTheme="minorHAnsi" w:cstheme="minorHAnsi"/>
                <w:sz w:val="22"/>
                <w:szCs w:val="22"/>
              </w:rPr>
            </w:pPr>
            <w:r w:rsidRPr="001F1937">
              <w:rPr>
                <w:rFonts w:asciiTheme="minorHAnsi" w:hAnsiTheme="minorHAnsi" w:cstheme="minorHAnsi"/>
                <w:sz w:val="22"/>
                <w:szCs w:val="22"/>
              </w:rPr>
              <w:t xml:space="preserve">2.3: Cyfrowa dostępność i ponowne wykorzystanie informacji </w:t>
            </w:r>
          </w:p>
          <w:p w14:paraId="08E2172A" w14:textId="77777777" w:rsidR="007B49B9" w:rsidRPr="001F1937" w:rsidRDefault="004532F9" w:rsidP="004532F9">
            <w:pPr>
              <w:rPr>
                <w:rFonts w:asciiTheme="minorHAnsi" w:hAnsiTheme="minorHAnsi" w:cstheme="minorHAnsi"/>
                <w:sz w:val="22"/>
                <w:szCs w:val="22"/>
              </w:rPr>
            </w:pPr>
            <w:r w:rsidRPr="001F1937">
              <w:rPr>
                <w:rFonts w:asciiTheme="minorHAnsi" w:hAnsiTheme="minorHAnsi" w:cstheme="minorHAnsi"/>
                <w:sz w:val="22"/>
                <w:szCs w:val="22"/>
              </w:rPr>
              <w:t>Cyfrowa dostępność ISP str. 36/37</w:t>
            </w:r>
          </w:p>
        </w:tc>
        <w:tc>
          <w:tcPr>
            <w:tcW w:w="4678" w:type="dxa"/>
            <w:shd w:val="clear" w:color="auto" w:fill="auto"/>
          </w:tcPr>
          <w:p w14:paraId="1FBCDFF9" w14:textId="77777777" w:rsidR="004532F9" w:rsidRDefault="0005289D" w:rsidP="00FD0477">
            <w:pPr>
              <w:rPr>
                <w:rFonts w:asciiTheme="minorHAnsi" w:hAnsiTheme="minorHAnsi" w:cstheme="minorHAnsi"/>
                <w:sz w:val="22"/>
                <w:szCs w:val="22"/>
              </w:rPr>
            </w:pPr>
            <w:r w:rsidRPr="0005289D">
              <w:rPr>
                <w:rFonts w:asciiTheme="minorHAnsi" w:hAnsiTheme="minorHAnsi" w:cstheme="minorHAnsi"/>
                <w:sz w:val="22"/>
                <w:szCs w:val="22"/>
              </w:rPr>
              <w:t xml:space="preserve">Główny cel ponownego wykorzystywania to budowa w oparciu o dane nowych rozwiązań, produktów usług itd. usprawni korzystanie z narzędzi informatycznych (np. portali). Ponadto umożliwi każdemu zainteresowanemu wykorzystywanie danych w produktach i usługach. Więcej danych będzie mogło również zostać wykorzystane w pracach analitycznych, </w:t>
            </w:r>
            <w:r w:rsidRPr="0005289D">
              <w:rPr>
                <w:rFonts w:asciiTheme="minorHAnsi" w:hAnsiTheme="minorHAnsi" w:cstheme="minorHAnsi"/>
                <w:sz w:val="22"/>
                <w:szCs w:val="22"/>
              </w:rPr>
              <w:lastRenderedPageBreak/>
              <w:t>badaniach czy na potrzeby rozwiązań sztucznej inteligencji.</w:t>
            </w:r>
          </w:p>
          <w:p w14:paraId="4D81F07E" w14:textId="347CBF52" w:rsidR="00330B30" w:rsidRPr="00FD0477" w:rsidRDefault="00330B30" w:rsidP="00FD0477">
            <w:pPr>
              <w:rPr>
                <w:rFonts w:asciiTheme="minorHAnsi" w:hAnsiTheme="minorHAnsi" w:cstheme="minorHAnsi"/>
                <w:sz w:val="22"/>
                <w:szCs w:val="22"/>
              </w:rPr>
            </w:pPr>
            <w:r>
              <w:rPr>
                <w:rFonts w:asciiTheme="minorHAnsi" w:hAnsiTheme="minorHAnsi" w:cstheme="minorHAnsi"/>
                <w:sz w:val="22"/>
                <w:szCs w:val="22"/>
              </w:rPr>
              <w:t>Ponadto</w:t>
            </w:r>
            <w:r w:rsidR="0028726E">
              <w:rPr>
                <w:rFonts w:asciiTheme="minorHAnsi" w:hAnsiTheme="minorHAnsi" w:cstheme="minorHAnsi"/>
                <w:sz w:val="22"/>
                <w:szCs w:val="22"/>
              </w:rPr>
              <w:t>,</w:t>
            </w:r>
            <w:r>
              <w:rPr>
                <w:rFonts w:asciiTheme="minorHAnsi" w:hAnsiTheme="minorHAnsi" w:cstheme="minorHAnsi"/>
                <w:sz w:val="22"/>
                <w:szCs w:val="22"/>
              </w:rPr>
              <w:t xml:space="preserve"> p</w:t>
            </w:r>
            <w:r w:rsidRPr="00330B30">
              <w:rPr>
                <w:rFonts w:asciiTheme="minorHAnsi" w:hAnsiTheme="minorHAnsi" w:cstheme="minorHAnsi"/>
                <w:sz w:val="22"/>
                <w:szCs w:val="22"/>
              </w:rPr>
              <w:t>roponuje się rozszerzenie zapisu w celu uwzględnienia planowanych innych prac, w tym m.in. nad digitalizacją zasobów cmentarzy.</w:t>
            </w:r>
          </w:p>
        </w:tc>
        <w:tc>
          <w:tcPr>
            <w:tcW w:w="5812" w:type="dxa"/>
            <w:shd w:val="clear" w:color="auto" w:fill="auto"/>
          </w:tcPr>
          <w:p w14:paraId="30311EDD" w14:textId="77777777" w:rsidR="00330B30" w:rsidRPr="00330B30" w:rsidRDefault="00330B30" w:rsidP="00FD0477">
            <w:pPr>
              <w:rPr>
                <w:rFonts w:asciiTheme="minorHAnsi" w:hAnsiTheme="minorHAnsi" w:cstheme="minorHAnsi"/>
                <w:sz w:val="22"/>
                <w:szCs w:val="22"/>
              </w:rPr>
            </w:pPr>
            <w:r w:rsidRPr="00330B30">
              <w:rPr>
                <w:rFonts w:asciiTheme="minorHAnsi" w:hAnsiTheme="minorHAnsi" w:cstheme="minorHAnsi"/>
                <w:sz w:val="22"/>
                <w:szCs w:val="22"/>
              </w:rPr>
              <w:lastRenderedPageBreak/>
              <w:t>Proponuje się poniższe brzmienie wskazanego akapitu:</w:t>
            </w:r>
          </w:p>
          <w:p w14:paraId="0CF3F3A2" w14:textId="0BD63CB7" w:rsidR="00330B30" w:rsidRPr="001F1937" w:rsidRDefault="00330B30" w:rsidP="00FD0477">
            <w:pPr>
              <w:rPr>
                <w:rFonts w:asciiTheme="minorHAnsi" w:hAnsiTheme="minorHAnsi" w:cstheme="minorHAnsi"/>
                <w:sz w:val="22"/>
                <w:szCs w:val="22"/>
              </w:rPr>
            </w:pPr>
            <w:r w:rsidRPr="001166CB">
              <w:rPr>
                <w:rFonts w:ascii="Calibri" w:eastAsia="Arial" w:hAnsi="Calibri" w:cs="Calibri"/>
                <w:noProof/>
                <w:sz w:val="22"/>
                <w:szCs w:val="22"/>
                <w:lang w:bidi="pl-PL"/>
              </w:rPr>
              <w:t xml:space="preserve">Interwencja obejmie projekty, których priorytetem jest </w:t>
            </w:r>
            <w:r w:rsidRPr="001166CB">
              <w:rPr>
                <w:rFonts w:ascii="Calibri" w:eastAsia="Arial" w:hAnsi="Calibri" w:cs="Calibri"/>
                <w:b/>
                <w:noProof/>
                <w:sz w:val="22"/>
                <w:szCs w:val="22"/>
                <w:lang w:bidi="pl-PL"/>
              </w:rPr>
              <w:t xml:space="preserve">zwiększenie ilościi jakości informacji sektora publicznego  dostępnych do ponowego wykorzystywania, w tym w szczególności danych o wysokiej wartości oraz danych dynamicznych. W tym kontekście za niezwykle istotne należy uznać </w:t>
            </w:r>
            <w:r w:rsidRPr="001166CB">
              <w:rPr>
                <w:rFonts w:ascii="Calibri" w:eastAsia="Arial" w:hAnsi="Calibri" w:cs="Calibri"/>
                <w:noProof/>
                <w:sz w:val="22"/>
                <w:szCs w:val="22"/>
                <w:lang w:bidi="pl-PL"/>
              </w:rPr>
              <w:t xml:space="preserve">stworzenie narzędzi umożliwiających dostęp do </w:t>
            </w:r>
            <w:r w:rsidRPr="001166CB">
              <w:rPr>
                <w:rFonts w:ascii="Calibri" w:eastAsia="Arial" w:hAnsi="Calibri" w:cs="Calibri"/>
                <w:b/>
                <w:noProof/>
                <w:sz w:val="22"/>
                <w:szCs w:val="22"/>
                <w:lang w:bidi="pl-PL"/>
              </w:rPr>
              <w:t xml:space="preserve">informacji sektora publicznego, w tym możliosć dobudowy </w:t>
            </w:r>
            <w:r w:rsidRPr="001166CB">
              <w:rPr>
                <w:rFonts w:ascii="Calibri" w:eastAsia="Arial" w:hAnsi="Calibri" w:cs="Calibri"/>
                <w:b/>
                <w:noProof/>
                <w:sz w:val="22"/>
                <w:szCs w:val="22"/>
                <w:lang w:bidi="pl-PL"/>
              </w:rPr>
              <w:lastRenderedPageBreak/>
              <w:t xml:space="preserve">API do baz/rejestrów z danymi publicznymi. </w:t>
            </w:r>
            <w:r w:rsidRPr="001166CB">
              <w:rPr>
                <w:rFonts w:ascii="Calibri" w:eastAsia="Arial" w:hAnsi="Calibri" w:cs="Calibri"/>
                <w:noProof/>
                <w:sz w:val="22"/>
                <w:szCs w:val="22"/>
                <w:lang w:bidi="pl-PL"/>
              </w:rPr>
              <w:t xml:space="preserve">Większa dostępność i promocja wykorzystania </w:t>
            </w:r>
            <w:r w:rsidRPr="001166CB">
              <w:rPr>
                <w:rFonts w:ascii="Calibri" w:eastAsia="Arial" w:hAnsi="Calibri" w:cs="Calibri"/>
                <w:b/>
                <w:noProof/>
                <w:sz w:val="22"/>
                <w:szCs w:val="22"/>
                <w:lang w:bidi="pl-PL"/>
              </w:rPr>
              <w:t xml:space="preserve">informacji sektora publicznego </w:t>
            </w:r>
            <w:r w:rsidRPr="001166CB">
              <w:rPr>
                <w:rFonts w:ascii="Calibri" w:eastAsia="Arial" w:hAnsi="Calibri" w:cs="Calibri"/>
                <w:noProof/>
                <w:sz w:val="22"/>
                <w:szCs w:val="22"/>
                <w:lang w:bidi="pl-PL"/>
              </w:rPr>
              <w:t xml:space="preserve">oraz budowa odpowiednich narzędzi </w:t>
            </w:r>
            <w:r w:rsidRPr="001166CB">
              <w:rPr>
                <w:rFonts w:ascii="Calibri" w:eastAsia="Arial" w:hAnsi="Calibri" w:cs="Calibri"/>
                <w:b/>
                <w:noProof/>
                <w:sz w:val="22"/>
                <w:szCs w:val="22"/>
                <w:lang w:bidi="pl-PL"/>
              </w:rPr>
              <w:t>np.</w:t>
            </w:r>
            <w:r w:rsidRPr="001166CB">
              <w:rPr>
                <w:rFonts w:ascii="Calibri" w:eastAsia="Arial" w:hAnsi="Calibri" w:cs="Calibri"/>
                <w:noProof/>
                <w:sz w:val="22"/>
                <w:szCs w:val="22"/>
                <w:lang w:bidi="pl-PL"/>
              </w:rPr>
              <w:t xml:space="preserve"> analitycznych posłuży m.in. efektywnemu zarządzaniu w administracji publicznej </w:t>
            </w:r>
            <w:r w:rsidRPr="001166CB">
              <w:rPr>
                <w:rFonts w:ascii="Calibri" w:eastAsia="Arial" w:hAnsi="Calibri" w:cs="Calibri"/>
                <w:b/>
                <w:noProof/>
                <w:sz w:val="22"/>
                <w:szCs w:val="22"/>
                <w:lang w:bidi="pl-PL"/>
              </w:rPr>
              <w:t>oraz usprawni korzystanie z narzędzi infromtycznych (np. portali). Ponadto umożliwi każdemu zainteresowanemu wykorzystywanie danych w produktach i usługach. Więcej danych będzie mogło również zostać wykorzystane w pracach analitycznych, badaniach czy na potrzeby rozwiązań sztucznej inteligencji.</w:t>
            </w:r>
            <w:r w:rsidRPr="001166CB">
              <w:rPr>
                <w:rFonts w:ascii="Calibri" w:eastAsia="Arial" w:hAnsi="Calibri" w:cs="Calibri"/>
                <w:noProof/>
                <w:sz w:val="22"/>
                <w:szCs w:val="22"/>
                <w:lang w:bidi="pl-PL"/>
              </w:rPr>
              <w:t xml:space="preserve"> Program zakłada działania zwiększające otwartość oraz poziom ponownego </w:t>
            </w:r>
            <w:r w:rsidRPr="001166CB">
              <w:rPr>
                <w:rFonts w:ascii="Calibri" w:eastAsia="Arial" w:hAnsi="Calibri" w:cs="Calibri"/>
                <w:b/>
                <w:noProof/>
                <w:sz w:val="22"/>
                <w:szCs w:val="22"/>
                <w:lang w:bidi="pl-PL"/>
              </w:rPr>
              <w:t xml:space="preserve">wykorzystywania </w:t>
            </w:r>
            <w:r w:rsidRPr="001166CB">
              <w:rPr>
                <w:rFonts w:ascii="Calibri" w:eastAsia="Arial" w:hAnsi="Calibri" w:cs="Calibri"/>
                <w:noProof/>
                <w:sz w:val="22"/>
                <w:szCs w:val="22"/>
                <w:lang w:bidi="pl-PL"/>
              </w:rPr>
              <w:t xml:space="preserve">danych </w:t>
            </w:r>
            <w:r w:rsidRPr="001166CB">
              <w:rPr>
                <w:rFonts w:ascii="Calibri" w:eastAsia="Arial" w:hAnsi="Calibri" w:cs="Calibri"/>
                <w:b/>
                <w:noProof/>
                <w:sz w:val="22"/>
                <w:szCs w:val="22"/>
                <w:lang w:bidi="pl-PL"/>
              </w:rPr>
              <w:t xml:space="preserve">znajdujących się w posiadaniu sektora publicznego, w tym danych z zasobów </w:t>
            </w:r>
            <w:r w:rsidRPr="001166CB">
              <w:rPr>
                <w:rFonts w:ascii="Calibri" w:eastAsia="Arial" w:hAnsi="Calibri" w:cs="Calibri"/>
                <w:noProof/>
                <w:sz w:val="22"/>
                <w:szCs w:val="22"/>
                <w:lang w:bidi="pl-PL"/>
              </w:rPr>
              <w:t>kultury</w:t>
            </w:r>
            <w:r w:rsidRPr="001166CB">
              <w:rPr>
                <w:rFonts w:ascii="Calibri" w:eastAsia="Arial" w:hAnsi="Calibri" w:cs="Calibri"/>
                <w:b/>
                <w:noProof/>
                <w:sz w:val="22"/>
                <w:szCs w:val="22"/>
                <w:lang w:bidi="pl-PL"/>
              </w:rPr>
              <w:t>(w tym niebędące ISP),</w:t>
            </w:r>
            <w:r w:rsidRPr="001166CB">
              <w:rPr>
                <w:rFonts w:ascii="Calibri" w:eastAsia="Arial" w:hAnsi="Calibri" w:cs="Calibri"/>
                <w:noProof/>
                <w:sz w:val="22"/>
                <w:szCs w:val="22"/>
                <w:lang w:bidi="pl-PL"/>
              </w:rPr>
              <w:t xml:space="preserve"> nauki i administracji</w:t>
            </w:r>
            <w:r w:rsidRPr="001166CB">
              <w:rPr>
                <w:rFonts w:ascii="Calibri" w:eastAsia="Arial" w:hAnsi="Calibri" w:cs="Calibri"/>
                <w:b/>
                <w:noProof/>
                <w:sz w:val="22"/>
                <w:szCs w:val="22"/>
                <w:lang w:bidi="pl-PL"/>
              </w:rPr>
              <w:t>, m.in. poprzez realizację badań w zakresie rynku ponownego wykorzystwania danych.</w:t>
            </w:r>
            <w:r w:rsidRPr="001166CB">
              <w:rPr>
                <w:rFonts w:ascii="Calibri" w:eastAsia="Arial" w:hAnsi="Calibri" w:cs="Calibri"/>
                <w:noProof/>
                <w:sz w:val="22"/>
                <w:szCs w:val="22"/>
                <w:lang w:bidi="pl-PL"/>
              </w:rPr>
              <w:t xml:space="preserve"> Wsparcie będzie udzielane również na budowę,</w:t>
            </w:r>
            <w:r w:rsidRPr="001166CB">
              <w:rPr>
                <w:rFonts w:ascii="Calibri" w:hAnsi="Calibri" w:cs="Calibri"/>
                <w:sz w:val="22"/>
                <w:szCs w:val="22"/>
              </w:rPr>
              <w:t xml:space="preserve"> </w:t>
            </w:r>
            <w:r w:rsidRPr="001166CB">
              <w:rPr>
                <w:rFonts w:ascii="Calibri" w:eastAsia="Arial" w:hAnsi="Calibri" w:cs="Calibri"/>
                <w:b/>
                <w:noProof/>
                <w:sz w:val="22"/>
                <w:szCs w:val="22"/>
                <w:lang w:bidi="pl-PL"/>
              </w:rPr>
              <w:t>rozbudowę lub modernizację</w:t>
            </w:r>
            <w:r w:rsidRPr="001166CB">
              <w:rPr>
                <w:rFonts w:ascii="Calibri" w:eastAsia="Arial" w:hAnsi="Calibri" w:cs="Calibri"/>
                <w:noProof/>
                <w:sz w:val="22"/>
                <w:szCs w:val="22"/>
                <w:lang w:bidi="pl-PL"/>
              </w:rPr>
              <w:t xml:space="preserve"> rozwój i udostępnianie rozwiązań informatycznych </w:t>
            </w:r>
            <w:r w:rsidRPr="001166CB">
              <w:rPr>
                <w:rFonts w:ascii="Calibri" w:eastAsia="Arial" w:hAnsi="Calibri" w:cs="Calibri"/>
                <w:b/>
                <w:noProof/>
                <w:sz w:val="22"/>
                <w:szCs w:val="22"/>
                <w:lang w:bidi="pl-PL"/>
              </w:rPr>
              <w:t>do publikowania infromacji sektora publicznego w celu ponownego wykorzystywania i</w:t>
            </w:r>
            <w:r w:rsidRPr="001166CB">
              <w:rPr>
                <w:rFonts w:ascii="Calibri" w:eastAsia="Arial" w:hAnsi="Calibri" w:cs="Calibri"/>
                <w:noProof/>
                <w:sz w:val="22"/>
                <w:szCs w:val="22"/>
                <w:lang w:bidi="pl-PL"/>
              </w:rPr>
              <w:t xml:space="preserve"> prowadzenia zaawansowanej analityki danych z wykorzystaniem nowych technologii.</w:t>
            </w:r>
          </w:p>
        </w:tc>
        <w:tc>
          <w:tcPr>
            <w:tcW w:w="1359" w:type="dxa"/>
          </w:tcPr>
          <w:p w14:paraId="05D649DF" w14:textId="77777777" w:rsidR="007B49B9" w:rsidRPr="001F1937" w:rsidRDefault="007B49B9" w:rsidP="004D086F">
            <w:pPr>
              <w:jc w:val="center"/>
              <w:rPr>
                <w:rFonts w:asciiTheme="minorHAnsi" w:hAnsiTheme="minorHAnsi" w:cstheme="minorHAnsi"/>
                <w:sz w:val="22"/>
                <w:szCs w:val="22"/>
              </w:rPr>
            </w:pPr>
          </w:p>
        </w:tc>
      </w:tr>
      <w:tr w:rsidR="004532F9" w:rsidRPr="001F1937" w14:paraId="57B9F318" w14:textId="77777777" w:rsidTr="00A06425">
        <w:tc>
          <w:tcPr>
            <w:tcW w:w="562" w:type="dxa"/>
            <w:shd w:val="clear" w:color="auto" w:fill="auto"/>
          </w:tcPr>
          <w:p w14:paraId="1650035E" w14:textId="34E3DD1F" w:rsidR="004532F9" w:rsidRPr="001F1937" w:rsidRDefault="00330B30"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19</w:t>
            </w:r>
          </w:p>
        </w:tc>
        <w:tc>
          <w:tcPr>
            <w:tcW w:w="1134" w:type="dxa"/>
            <w:shd w:val="clear" w:color="auto" w:fill="auto"/>
          </w:tcPr>
          <w:p w14:paraId="169DD95C" w14:textId="77777777" w:rsidR="004532F9" w:rsidRPr="001F1937" w:rsidRDefault="004532F9"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40A85857" w14:textId="77777777" w:rsidR="004532F9" w:rsidRPr="001F1937" w:rsidRDefault="004532F9" w:rsidP="004532F9">
            <w:pPr>
              <w:rPr>
                <w:rFonts w:asciiTheme="minorHAnsi" w:hAnsiTheme="minorHAnsi" w:cstheme="minorHAnsi"/>
                <w:sz w:val="22"/>
                <w:szCs w:val="22"/>
              </w:rPr>
            </w:pPr>
            <w:r w:rsidRPr="001F1937">
              <w:rPr>
                <w:rFonts w:asciiTheme="minorHAnsi" w:hAnsiTheme="minorHAnsi" w:cstheme="minorHAnsi"/>
                <w:sz w:val="22"/>
                <w:szCs w:val="22"/>
              </w:rPr>
              <w:t>Cyfrowa dostępność i ponowne wykorzystanie informacji przez przedsiębiorstwa str. 38</w:t>
            </w:r>
          </w:p>
        </w:tc>
        <w:tc>
          <w:tcPr>
            <w:tcW w:w="4678" w:type="dxa"/>
            <w:shd w:val="clear" w:color="auto" w:fill="auto"/>
          </w:tcPr>
          <w:p w14:paraId="1C7B0F36" w14:textId="50A7833E" w:rsidR="009A4797" w:rsidRPr="00776E0C" w:rsidRDefault="009A4797" w:rsidP="00776E0C">
            <w:pPr>
              <w:rPr>
                <w:rFonts w:asciiTheme="minorHAnsi" w:hAnsiTheme="minorHAnsi" w:cstheme="minorHAnsi"/>
                <w:sz w:val="22"/>
                <w:szCs w:val="22"/>
              </w:rPr>
            </w:pPr>
            <w:r w:rsidRPr="00776E0C">
              <w:rPr>
                <w:rFonts w:asciiTheme="minorHAnsi" w:hAnsiTheme="minorHAnsi" w:cstheme="minorHAnsi"/>
                <w:sz w:val="22"/>
                <w:szCs w:val="22"/>
              </w:rPr>
              <w:t>Do rozważenia, czy określenie „dynamicznych zbiorów danych” jest tożsame z pojęciem danych dynamicznych w ustawie o otwartych danych?</w:t>
            </w:r>
            <w:r w:rsidR="00776E0C">
              <w:rPr>
                <w:rFonts w:asciiTheme="minorHAnsi" w:hAnsiTheme="minorHAnsi" w:cstheme="minorHAnsi"/>
                <w:sz w:val="22"/>
                <w:szCs w:val="22"/>
              </w:rPr>
              <w:t xml:space="preserve"> O ile odpowiedź jest twierdząca</w:t>
            </w:r>
            <w:r w:rsidR="008F6EF8">
              <w:rPr>
                <w:rFonts w:asciiTheme="minorHAnsi" w:hAnsiTheme="minorHAnsi" w:cstheme="minorHAnsi"/>
                <w:sz w:val="22"/>
                <w:szCs w:val="22"/>
              </w:rPr>
              <w:t xml:space="preserve"> proponuje się modyfikację akapitu. Ponadto proponuje się</w:t>
            </w:r>
            <w:r w:rsidRPr="00776E0C">
              <w:rPr>
                <w:rFonts w:asciiTheme="minorHAnsi" w:hAnsiTheme="minorHAnsi" w:cstheme="minorHAnsi"/>
                <w:sz w:val="22"/>
                <w:szCs w:val="22"/>
              </w:rPr>
              <w:t xml:space="preserve"> aby posłużyć się terminem: interfejs programistyczny aplikacji, który występuje na gruncie ustawy o otwartych danych.</w:t>
            </w:r>
            <w:r w:rsidR="00776E0C">
              <w:rPr>
                <w:rFonts w:asciiTheme="minorHAnsi" w:hAnsiTheme="minorHAnsi" w:cstheme="minorHAnsi"/>
                <w:sz w:val="22"/>
                <w:szCs w:val="22"/>
              </w:rPr>
              <w:t xml:space="preserve"> </w:t>
            </w:r>
          </w:p>
        </w:tc>
        <w:tc>
          <w:tcPr>
            <w:tcW w:w="5812" w:type="dxa"/>
            <w:shd w:val="clear" w:color="auto" w:fill="auto"/>
          </w:tcPr>
          <w:p w14:paraId="2ED2B806" w14:textId="143627C1" w:rsidR="00206264" w:rsidRPr="001F1937" w:rsidRDefault="00206264" w:rsidP="00206264">
            <w:pPr>
              <w:rPr>
                <w:rFonts w:asciiTheme="minorHAnsi" w:hAnsiTheme="minorHAnsi" w:cstheme="minorHAnsi"/>
                <w:sz w:val="22"/>
                <w:szCs w:val="22"/>
              </w:rPr>
            </w:pPr>
            <w:r w:rsidRPr="001F1937">
              <w:rPr>
                <w:rFonts w:asciiTheme="minorHAnsi" w:hAnsiTheme="minorHAnsi" w:cstheme="minorHAnsi"/>
                <w:sz w:val="22"/>
                <w:szCs w:val="22"/>
              </w:rPr>
              <w:t>Proponuje się poniższe brzmienie:</w:t>
            </w:r>
          </w:p>
          <w:p w14:paraId="38033FE4" w14:textId="24A6C149" w:rsidR="004532F9" w:rsidRPr="001F1937" w:rsidRDefault="00206264" w:rsidP="006B2408">
            <w:pPr>
              <w:rPr>
                <w:rFonts w:asciiTheme="minorHAnsi" w:hAnsiTheme="minorHAnsi" w:cstheme="minorHAnsi"/>
                <w:sz w:val="22"/>
                <w:szCs w:val="22"/>
              </w:rPr>
            </w:pPr>
            <w:r w:rsidRPr="001F1937">
              <w:rPr>
                <w:rFonts w:asciiTheme="minorHAnsi" w:hAnsiTheme="minorHAnsi" w:cstheme="minorHAnsi"/>
                <w:sz w:val="22"/>
                <w:szCs w:val="22"/>
              </w:rPr>
              <w:t>„</w:t>
            </w:r>
            <w:r w:rsidR="00776E0C" w:rsidRPr="00776E0C">
              <w:rPr>
                <w:rFonts w:asciiTheme="minorHAnsi" w:hAnsiTheme="minorHAnsi" w:cstheme="minorHAnsi"/>
                <w:sz w:val="22"/>
                <w:szCs w:val="22"/>
              </w:rPr>
              <w:t>Interwencja obejmie projekty, których celem będzie zapewnienie dostępu w szczególności</w:t>
            </w:r>
            <w:r w:rsidR="00776E0C">
              <w:rPr>
                <w:rFonts w:asciiTheme="minorHAnsi" w:hAnsiTheme="minorHAnsi" w:cstheme="minorHAnsi"/>
                <w:sz w:val="22"/>
                <w:szCs w:val="22"/>
              </w:rPr>
              <w:t xml:space="preserve"> do </w:t>
            </w:r>
            <w:r w:rsidR="00776E0C" w:rsidRPr="00776E0C">
              <w:rPr>
                <w:rFonts w:asciiTheme="minorHAnsi" w:hAnsiTheme="minorHAnsi" w:cstheme="minorHAnsi"/>
                <w:b/>
                <w:sz w:val="22"/>
                <w:szCs w:val="22"/>
              </w:rPr>
              <w:t>dynamicznych zbiorów danych</w:t>
            </w:r>
            <w:r w:rsidR="00776E0C" w:rsidRPr="00776E0C">
              <w:rPr>
                <w:rFonts w:asciiTheme="minorHAnsi" w:hAnsiTheme="minorHAnsi" w:cstheme="minorHAnsi"/>
                <w:sz w:val="22"/>
                <w:szCs w:val="22"/>
              </w:rPr>
              <w:t xml:space="preserve"> za pośrednictwem </w:t>
            </w:r>
            <w:r w:rsidR="00776E0C" w:rsidRPr="00776E0C">
              <w:rPr>
                <w:rFonts w:asciiTheme="minorHAnsi" w:hAnsiTheme="minorHAnsi" w:cstheme="minorHAnsi"/>
                <w:b/>
                <w:sz w:val="22"/>
                <w:szCs w:val="22"/>
              </w:rPr>
              <w:t>interfejsów programistycznych</w:t>
            </w:r>
            <w:r w:rsidR="00776E0C" w:rsidRPr="00776E0C">
              <w:rPr>
                <w:rFonts w:asciiTheme="minorHAnsi" w:hAnsiTheme="minorHAnsi" w:cstheme="minorHAnsi"/>
                <w:sz w:val="22"/>
                <w:szCs w:val="22"/>
              </w:rPr>
              <w:t xml:space="preserve"> aplikacji , wykorzystywanie danych i analityki biznesowej w przedsiębiorstwach oraz wsparcie wzajemnego dzielenia się danymi przez przedsiębiorstwa, w tym poprzez opracowanie standardów współpracy w zakresie organizacyjnym, technicznym i prawnym. Promowane będzie również udostępnianie danych prywatnych instytucjom publicznym, podmiotom systemu szkolnictwa wyższego i nauki w celu </w:t>
            </w:r>
            <w:r w:rsidR="00776E0C">
              <w:rPr>
                <w:rFonts w:asciiTheme="minorHAnsi" w:hAnsiTheme="minorHAnsi" w:cstheme="minorHAnsi"/>
                <w:sz w:val="22"/>
                <w:szCs w:val="22"/>
              </w:rPr>
              <w:t>realizacji interesu publicznego</w:t>
            </w:r>
            <w:r w:rsidRPr="001F1937">
              <w:rPr>
                <w:rFonts w:asciiTheme="minorHAnsi" w:hAnsiTheme="minorHAnsi" w:cstheme="minorHAnsi"/>
                <w:sz w:val="22"/>
                <w:szCs w:val="22"/>
              </w:rPr>
              <w:t>.”</w:t>
            </w:r>
            <w:r w:rsidR="00137358">
              <w:rPr>
                <w:rFonts w:asciiTheme="minorHAnsi" w:hAnsiTheme="minorHAnsi" w:cstheme="minorHAnsi"/>
                <w:sz w:val="22"/>
                <w:szCs w:val="22"/>
              </w:rPr>
              <w:t>.</w:t>
            </w:r>
          </w:p>
        </w:tc>
        <w:tc>
          <w:tcPr>
            <w:tcW w:w="1359" w:type="dxa"/>
          </w:tcPr>
          <w:p w14:paraId="6FB6ED49" w14:textId="77777777" w:rsidR="004532F9" w:rsidRPr="001F1937" w:rsidRDefault="004532F9" w:rsidP="004D086F">
            <w:pPr>
              <w:jc w:val="center"/>
              <w:rPr>
                <w:rFonts w:asciiTheme="minorHAnsi" w:hAnsiTheme="minorHAnsi" w:cstheme="minorHAnsi"/>
                <w:sz w:val="22"/>
                <w:szCs w:val="22"/>
              </w:rPr>
            </w:pPr>
          </w:p>
        </w:tc>
      </w:tr>
      <w:tr w:rsidR="001F1937" w:rsidRPr="001F1937" w14:paraId="6149D1F5" w14:textId="77777777" w:rsidTr="00A06425">
        <w:tc>
          <w:tcPr>
            <w:tcW w:w="562" w:type="dxa"/>
            <w:shd w:val="clear" w:color="auto" w:fill="auto"/>
          </w:tcPr>
          <w:p w14:paraId="13AFB703" w14:textId="2C51CAE3" w:rsidR="001F1937" w:rsidRPr="001F1937" w:rsidRDefault="001F1937" w:rsidP="001F1937">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r w:rsidR="00330B30">
              <w:rPr>
                <w:rFonts w:asciiTheme="minorHAnsi" w:hAnsiTheme="minorHAnsi" w:cstheme="minorHAnsi"/>
                <w:b/>
                <w:sz w:val="22"/>
                <w:szCs w:val="22"/>
              </w:rPr>
              <w:t>0</w:t>
            </w:r>
          </w:p>
        </w:tc>
        <w:tc>
          <w:tcPr>
            <w:tcW w:w="1134" w:type="dxa"/>
            <w:shd w:val="clear" w:color="auto" w:fill="auto"/>
          </w:tcPr>
          <w:p w14:paraId="570CB904" w14:textId="58E1373D" w:rsidR="001F1937" w:rsidRPr="001F1937" w:rsidRDefault="001F1937" w:rsidP="001F1937">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 xml:space="preserve">MC </w:t>
            </w:r>
          </w:p>
        </w:tc>
        <w:tc>
          <w:tcPr>
            <w:tcW w:w="1843" w:type="dxa"/>
            <w:shd w:val="clear" w:color="auto" w:fill="auto"/>
          </w:tcPr>
          <w:p w14:paraId="1E22C0DF" w14:textId="5310F1A8" w:rsidR="001F1937" w:rsidRPr="001F1937" w:rsidRDefault="001F1937" w:rsidP="001F1937">
            <w:pPr>
              <w:rPr>
                <w:rFonts w:asciiTheme="minorHAnsi" w:hAnsiTheme="minorHAnsi" w:cstheme="minorHAnsi"/>
                <w:sz w:val="22"/>
                <w:szCs w:val="22"/>
              </w:rPr>
            </w:pPr>
            <w:r w:rsidRPr="001F1937">
              <w:rPr>
                <w:rFonts w:asciiTheme="minorHAnsi" w:hAnsiTheme="minorHAnsi" w:cstheme="minorHAnsi"/>
                <w:sz w:val="22"/>
                <w:szCs w:val="22"/>
              </w:rPr>
              <w:t>Pomoc techniczna</w:t>
            </w:r>
            <w:r w:rsidR="001A2E8B">
              <w:rPr>
                <w:rFonts w:asciiTheme="minorHAnsi" w:hAnsiTheme="minorHAnsi" w:cstheme="minorHAnsi"/>
                <w:sz w:val="22"/>
                <w:szCs w:val="22"/>
              </w:rPr>
              <w:t xml:space="preserve"> </w:t>
            </w:r>
            <w:r w:rsidR="00137358">
              <w:rPr>
                <w:rFonts w:asciiTheme="minorHAnsi" w:hAnsiTheme="minorHAnsi" w:cstheme="minorHAnsi"/>
                <w:sz w:val="22"/>
                <w:szCs w:val="22"/>
              </w:rPr>
              <w:t>s</w:t>
            </w:r>
            <w:r w:rsidR="001A2E8B" w:rsidRPr="001A2E8B">
              <w:rPr>
                <w:rFonts w:asciiTheme="minorHAnsi" w:hAnsiTheme="minorHAnsi" w:cstheme="minorHAnsi"/>
                <w:sz w:val="22"/>
                <w:szCs w:val="22"/>
              </w:rPr>
              <w:t>tr. 49</w:t>
            </w:r>
          </w:p>
        </w:tc>
        <w:tc>
          <w:tcPr>
            <w:tcW w:w="4678" w:type="dxa"/>
            <w:shd w:val="clear" w:color="auto" w:fill="auto"/>
          </w:tcPr>
          <w:p w14:paraId="364DEC80" w14:textId="4C139358" w:rsidR="007854AE" w:rsidRPr="001F1937" w:rsidRDefault="001F1937">
            <w:pPr>
              <w:rPr>
                <w:rFonts w:asciiTheme="minorHAnsi" w:hAnsiTheme="minorHAnsi" w:cstheme="minorHAnsi"/>
                <w:sz w:val="22"/>
                <w:szCs w:val="22"/>
              </w:rPr>
            </w:pPr>
            <w:r w:rsidRPr="001F1937">
              <w:rPr>
                <w:rFonts w:asciiTheme="minorHAnsi" w:hAnsiTheme="minorHAnsi" w:cstheme="minorHAnsi"/>
                <w:sz w:val="22"/>
                <w:szCs w:val="22"/>
              </w:rPr>
              <w:t xml:space="preserve">Wśród instytucji, których wydatki na wynagrodzenia będą podlegały wsparciu z PT, konieczne jest wskazanie Urzędu Komunikacji Elektronicznej jako instytucji specjalistycznej, zaangażowanej – zarówno na etapie </w:t>
            </w:r>
            <w:r w:rsidRPr="001F1937">
              <w:rPr>
                <w:rFonts w:asciiTheme="minorHAnsi" w:hAnsiTheme="minorHAnsi" w:cstheme="minorHAnsi"/>
                <w:sz w:val="22"/>
                <w:szCs w:val="22"/>
              </w:rPr>
              <w:lastRenderedPageBreak/>
              <w:t>przygotowawczym, jak również w czasie realizacji programu.</w:t>
            </w:r>
          </w:p>
        </w:tc>
        <w:tc>
          <w:tcPr>
            <w:tcW w:w="5812" w:type="dxa"/>
            <w:shd w:val="clear" w:color="auto" w:fill="auto"/>
          </w:tcPr>
          <w:p w14:paraId="5C780457" w14:textId="5BCC2589" w:rsidR="001F1937" w:rsidRDefault="007854AE" w:rsidP="001F1937">
            <w:pPr>
              <w:rPr>
                <w:rFonts w:asciiTheme="minorHAnsi" w:hAnsiTheme="minorHAnsi" w:cstheme="minorHAnsi"/>
                <w:sz w:val="22"/>
                <w:szCs w:val="22"/>
              </w:rPr>
            </w:pPr>
            <w:r>
              <w:rPr>
                <w:rFonts w:asciiTheme="minorHAnsi" w:hAnsiTheme="minorHAnsi" w:cstheme="minorHAnsi"/>
                <w:sz w:val="22"/>
                <w:szCs w:val="22"/>
              </w:rPr>
              <w:lastRenderedPageBreak/>
              <w:t xml:space="preserve">Proponuje się </w:t>
            </w:r>
            <w:r w:rsidR="00137358">
              <w:rPr>
                <w:rFonts w:asciiTheme="minorHAnsi" w:hAnsiTheme="minorHAnsi" w:cstheme="minorHAnsi"/>
                <w:sz w:val="22"/>
                <w:szCs w:val="22"/>
              </w:rPr>
              <w:t>rozszerzyć akapit dotyczący wsparcia, w zakresie tiret pierwszego, o UKE oraz nadać następujące brzmienie</w:t>
            </w:r>
            <w:r w:rsidR="001F1937" w:rsidRPr="001F1937">
              <w:rPr>
                <w:rFonts w:asciiTheme="minorHAnsi" w:hAnsiTheme="minorHAnsi" w:cstheme="minorHAnsi"/>
                <w:sz w:val="22"/>
                <w:szCs w:val="22"/>
              </w:rPr>
              <w:t>:</w:t>
            </w:r>
          </w:p>
          <w:p w14:paraId="6676BAE5" w14:textId="41C8DD2C" w:rsidR="007854AE" w:rsidRPr="001F1937" w:rsidRDefault="00137358" w:rsidP="001F1937">
            <w:pPr>
              <w:rPr>
                <w:rFonts w:asciiTheme="minorHAnsi" w:hAnsiTheme="minorHAnsi" w:cstheme="minorHAnsi"/>
                <w:sz w:val="22"/>
                <w:szCs w:val="22"/>
              </w:rPr>
            </w:pPr>
            <w:r>
              <w:rPr>
                <w:rFonts w:asciiTheme="minorHAnsi" w:hAnsiTheme="minorHAnsi" w:cstheme="minorHAnsi"/>
                <w:sz w:val="22"/>
                <w:szCs w:val="22"/>
              </w:rPr>
              <w:t>„</w:t>
            </w:r>
            <w:r w:rsidR="007854AE" w:rsidRPr="007854AE">
              <w:rPr>
                <w:rFonts w:asciiTheme="minorHAnsi" w:hAnsiTheme="minorHAnsi" w:cstheme="minorHAnsi"/>
                <w:sz w:val="22"/>
                <w:szCs w:val="22"/>
              </w:rPr>
              <w:t xml:space="preserve">wynagrodzenia dla pracowników instytucji zaangażowanych w system wdrażania Programu (Centrum Projektów Polska Cyfrowa jako Instytucja Pośrednicząca (IP)), Urząd Komunikacji </w:t>
            </w:r>
            <w:r w:rsidR="007854AE" w:rsidRPr="007854AE">
              <w:rPr>
                <w:rFonts w:asciiTheme="minorHAnsi" w:hAnsiTheme="minorHAnsi" w:cstheme="minorHAnsi"/>
                <w:sz w:val="22"/>
                <w:szCs w:val="22"/>
              </w:rPr>
              <w:lastRenderedPageBreak/>
              <w:t>Elektronicznej jako Instytucja Specjalistyczna oraz inne instytucje niezbęd</w:t>
            </w:r>
            <w:r w:rsidR="007854AE">
              <w:rPr>
                <w:rFonts w:asciiTheme="minorHAnsi" w:hAnsiTheme="minorHAnsi" w:cstheme="minorHAnsi"/>
                <w:sz w:val="22"/>
                <w:szCs w:val="22"/>
              </w:rPr>
              <w:t>ne w system wdrażania Programu)</w:t>
            </w:r>
            <w:r w:rsidR="007854AE" w:rsidRPr="007854AE">
              <w:rPr>
                <w:rFonts w:asciiTheme="minorHAnsi" w:hAnsiTheme="minorHAnsi" w:cstheme="minorHAnsi"/>
                <w:sz w:val="22"/>
                <w:szCs w:val="22"/>
              </w:rPr>
              <w:t>”.</w:t>
            </w:r>
          </w:p>
        </w:tc>
        <w:tc>
          <w:tcPr>
            <w:tcW w:w="1359" w:type="dxa"/>
          </w:tcPr>
          <w:p w14:paraId="73ECDF92" w14:textId="77777777" w:rsidR="001F1937" w:rsidRPr="001F1937" w:rsidRDefault="001F1937" w:rsidP="001F1937">
            <w:pPr>
              <w:jc w:val="center"/>
              <w:rPr>
                <w:rFonts w:asciiTheme="minorHAnsi" w:hAnsiTheme="minorHAnsi" w:cstheme="minorHAnsi"/>
                <w:sz w:val="22"/>
                <w:szCs w:val="22"/>
              </w:rPr>
            </w:pPr>
          </w:p>
        </w:tc>
      </w:tr>
      <w:tr w:rsidR="001F1937" w:rsidRPr="001F1937" w14:paraId="1F95D748" w14:textId="77777777" w:rsidTr="00A06425">
        <w:tc>
          <w:tcPr>
            <w:tcW w:w="562" w:type="dxa"/>
            <w:shd w:val="clear" w:color="auto" w:fill="auto"/>
          </w:tcPr>
          <w:p w14:paraId="68088FD3" w14:textId="51D9CA1C" w:rsidR="001F1937" w:rsidRPr="001F1937" w:rsidRDefault="001F1937" w:rsidP="001F1937">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r w:rsidR="00FC72C6">
              <w:rPr>
                <w:rFonts w:asciiTheme="minorHAnsi" w:hAnsiTheme="minorHAnsi" w:cstheme="minorHAnsi"/>
                <w:b/>
                <w:sz w:val="22"/>
                <w:szCs w:val="22"/>
              </w:rPr>
              <w:t>1</w:t>
            </w:r>
          </w:p>
        </w:tc>
        <w:tc>
          <w:tcPr>
            <w:tcW w:w="1134" w:type="dxa"/>
            <w:shd w:val="clear" w:color="auto" w:fill="auto"/>
          </w:tcPr>
          <w:p w14:paraId="2B827A1B" w14:textId="2B2B67F1" w:rsidR="001F1937" w:rsidRPr="001F1937" w:rsidRDefault="001F1937" w:rsidP="001F1937">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4793193A" w14:textId="3B3F653D" w:rsidR="001F1937" w:rsidRPr="001F1937" w:rsidRDefault="001F1937" w:rsidP="001F1937">
            <w:pPr>
              <w:rPr>
                <w:rFonts w:asciiTheme="minorHAnsi" w:hAnsiTheme="minorHAnsi" w:cstheme="minorHAnsi"/>
                <w:sz w:val="22"/>
                <w:szCs w:val="22"/>
              </w:rPr>
            </w:pPr>
            <w:r w:rsidRPr="001F1937">
              <w:rPr>
                <w:rFonts w:asciiTheme="minorHAnsi" w:hAnsiTheme="minorHAnsi" w:cstheme="minorHAnsi"/>
                <w:sz w:val="22"/>
                <w:szCs w:val="22"/>
              </w:rPr>
              <w:t>wiersz dot. Pomocy technicznej</w:t>
            </w:r>
            <w:r w:rsidR="001A2E8B">
              <w:rPr>
                <w:rFonts w:asciiTheme="minorHAnsi" w:hAnsiTheme="minorHAnsi" w:cstheme="minorHAnsi"/>
                <w:sz w:val="22"/>
                <w:szCs w:val="22"/>
              </w:rPr>
              <w:t xml:space="preserve"> </w:t>
            </w:r>
            <w:r w:rsidR="00137358">
              <w:rPr>
                <w:rFonts w:asciiTheme="minorHAnsi" w:hAnsiTheme="minorHAnsi" w:cstheme="minorHAnsi"/>
                <w:sz w:val="22"/>
                <w:szCs w:val="22"/>
              </w:rPr>
              <w:t>s</w:t>
            </w:r>
            <w:r w:rsidR="001A2E8B" w:rsidRPr="001A2E8B">
              <w:rPr>
                <w:rFonts w:asciiTheme="minorHAnsi" w:hAnsiTheme="minorHAnsi" w:cstheme="minorHAnsi"/>
                <w:sz w:val="22"/>
                <w:szCs w:val="22"/>
              </w:rPr>
              <w:t>tr. 54, Tabela 18</w:t>
            </w:r>
          </w:p>
        </w:tc>
        <w:tc>
          <w:tcPr>
            <w:tcW w:w="4678" w:type="dxa"/>
            <w:shd w:val="clear" w:color="auto" w:fill="auto"/>
          </w:tcPr>
          <w:p w14:paraId="713BA17B" w14:textId="3000616E" w:rsidR="001F1937" w:rsidRPr="001F1937" w:rsidRDefault="00FD0477" w:rsidP="00FD0477">
            <w:pPr>
              <w:rPr>
                <w:rFonts w:asciiTheme="minorHAnsi" w:hAnsiTheme="minorHAnsi" w:cstheme="minorHAnsi"/>
                <w:sz w:val="22"/>
                <w:szCs w:val="22"/>
              </w:rPr>
            </w:pPr>
            <w:r>
              <w:rPr>
                <w:rFonts w:asciiTheme="minorHAnsi" w:hAnsiTheme="minorHAnsi" w:cstheme="minorHAnsi"/>
                <w:sz w:val="22"/>
                <w:szCs w:val="22"/>
              </w:rPr>
              <w:t xml:space="preserve">Wymaga wyjaśnienia, </w:t>
            </w:r>
            <w:r w:rsidR="001F1937" w:rsidRPr="001F1937">
              <w:rPr>
                <w:rFonts w:asciiTheme="minorHAnsi" w:hAnsiTheme="minorHAnsi" w:cstheme="minorHAnsi"/>
                <w:sz w:val="22"/>
                <w:szCs w:val="22"/>
              </w:rPr>
              <w:t>czy do okresu wsparcia z Pomocy technicznej stosowana będzie, tak jak dotychczas, zasada n+3, zgodnie z którą możliwe będzie uzyskiwanie wsparcia z PT przez 3 lata po zakończeniu okresu Programowania</w:t>
            </w:r>
            <w:r>
              <w:rPr>
                <w:rFonts w:asciiTheme="minorHAnsi" w:hAnsiTheme="minorHAnsi" w:cstheme="minorHAnsi"/>
                <w:sz w:val="22"/>
                <w:szCs w:val="22"/>
              </w:rPr>
              <w:t>.</w:t>
            </w:r>
          </w:p>
        </w:tc>
        <w:tc>
          <w:tcPr>
            <w:tcW w:w="5812" w:type="dxa"/>
            <w:shd w:val="clear" w:color="auto" w:fill="auto"/>
          </w:tcPr>
          <w:p w14:paraId="17AEDC9A" w14:textId="3414A83C" w:rsidR="001F1937" w:rsidRPr="001F1937" w:rsidRDefault="001F1937" w:rsidP="001F1937">
            <w:pPr>
              <w:rPr>
                <w:rFonts w:asciiTheme="minorHAnsi" w:hAnsiTheme="minorHAnsi" w:cstheme="minorHAnsi"/>
                <w:sz w:val="22"/>
                <w:szCs w:val="22"/>
              </w:rPr>
            </w:pPr>
          </w:p>
        </w:tc>
        <w:tc>
          <w:tcPr>
            <w:tcW w:w="1359" w:type="dxa"/>
          </w:tcPr>
          <w:p w14:paraId="2A51CF99" w14:textId="77777777" w:rsidR="001F1937" w:rsidRPr="001F1937" w:rsidRDefault="001F1937" w:rsidP="001F1937">
            <w:pPr>
              <w:jc w:val="center"/>
              <w:rPr>
                <w:rFonts w:asciiTheme="minorHAnsi" w:hAnsiTheme="minorHAnsi" w:cstheme="minorHAnsi"/>
                <w:sz w:val="22"/>
                <w:szCs w:val="22"/>
              </w:rPr>
            </w:pPr>
          </w:p>
        </w:tc>
      </w:tr>
      <w:tr w:rsidR="009A4797" w:rsidRPr="001F1937" w14:paraId="40E97541" w14:textId="77777777" w:rsidTr="00A06425">
        <w:tc>
          <w:tcPr>
            <w:tcW w:w="562" w:type="dxa"/>
            <w:shd w:val="clear" w:color="auto" w:fill="auto"/>
          </w:tcPr>
          <w:p w14:paraId="5270AF8F" w14:textId="0A1BA317" w:rsidR="009A4797" w:rsidRPr="001F1937" w:rsidRDefault="001F1937"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r w:rsidR="00FC72C6">
              <w:rPr>
                <w:rFonts w:asciiTheme="minorHAnsi" w:hAnsiTheme="minorHAnsi" w:cstheme="minorHAnsi"/>
                <w:b/>
                <w:sz w:val="22"/>
                <w:szCs w:val="22"/>
              </w:rPr>
              <w:t>2</w:t>
            </w:r>
          </w:p>
        </w:tc>
        <w:tc>
          <w:tcPr>
            <w:tcW w:w="1134" w:type="dxa"/>
            <w:shd w:val="clear" w:color="auto" w:fill="auto"/>
          </w:tcPr>
          <w:p w14:paraId="480BE8F3" w14:textId="77777777" w:rsidR="009A4797" w:rsidRPr="001F1937" w:rsidRDefault="009A4797"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0BF4909E" w14:textId="77777777" w:rsidR="009A4797" w:rsidRPr="001F1937" w:rsidRDefault="009A4797" w:rsidP="009A4797">
            <w:pPr>
              <w:rPr>
                <w:rFonts w:asciiTheme="minorHAnsi" w:hAnsiTheme="minorHAnsi" w:cstheme="minorHAnsi"/>
                <w:sz w:val="22"/>
                <w:szCs w:val="22"/>
              </w:rPr>
            </w:pPr>
            <w:r w:rsidRPr="001F1937">
              <w:rPr>
                <w:rFonts w:asciiTheme="minorHAnsi" w:hAnsiTheme="minorHAnsi" w:cstheme="minorHAnsi"/>
                <w:sz w:val="22"/>
                <w:szCs w:val="22"/>
              </w:rPr>
              <w:t xml:space="preserve">2.3: Cyfrowa dostępność i ponowne wykorzystanie informacji </w:t>
            </w:r>
          </w:p>
          <w:p w14:paraId="405CA4D0" w14:textId="1C0EB037" w:rsidR="009A4797" w:rsidRPr="001F1937" w:rsidRDefault="009A4797" w:rsidP="009A4797">
            <w:pPr>
              <w:rPr>
                <w:rFonts w:asciiTheme="minorHAnsi" w:hAnsiTheme="minorHAnsi" w:cstheme="minorHAnsi"/>
                <w:sz w:val="22"/>
                <w:szCs w:val="22"/>
              </w:rPr>
            </w:pPr>
            <w:r w:rsidRPr="001F1937">
              <w:rPr>
                <w:rFonts w:asciiTheme="minorHAnsi" w:hAnsiTheme="minorHAnsi" w:cstheme="minorHAnsi"/>
                <w:sz w:val="22"/>
                <w:szCs w:val="22"/>
              </w:rPr>
              <w:t>Cyfrowa dostępność ISP</w:t>
            </w:r>
            <w:r w:rsidR="005F1DC4">
              <w:rPr>
                <w:rFonts w:asciiTheme="minorHAnsi" w:hAnsiTheme="minorHAnsi" w:cstheme="minorHAnsi"/>
                <w:sz w:val="22"/>
                <w:szCs w:val="22"/>
              </w:rPr>
              <w:t>,</w:t>
            </w:r>
            <w:r w:rsidRPr="001F1937">
              <w:rPr>
                <w:rFonts w:asciiTheme="minorHAnsi" w:hAnsiTheme="minorHAnsi" w:cstheme="minorHAnsi"/>
                <w:sz w:val="22"/>
                <w:szCs w:val="22"/>
              </w:rPr>
              <w:t xml:space="preserve"> str. 80</w:t>
            </w:r>
          </w:p>
        </w:tc>
        <w:tc>
          <w:tcPr>
            <w:tcW w:w="4678" w:type="dxa"/>
            <w:shd w:val="clear" w:color="auto" w:fill="auto"/>
          </w:tcPr>
          <w:p w14:paraId="4CF30311" w14:textId="49082F42" w:rsidR="009A4797" w:rsidRPr="00FC72C6" w:rsidRDefault="00FD0477" w:rsidP="00137358">
            <w:pPr>
              <w:rPr>
                <w:rFonts w:asciiTheme="minorHAnsi" w:hAnsiTheme="minorHAnsi" w:cstheme="minorHAnsi"/>
                <w:sz w:val="22"/>
                <w:szCs w:val="22"/>
              </w:rPr>
            </w:pPr>
            <w:r>
              <w:rPr>
                <w:rFonts w:asciiTheme="minorHAnsi" w:hAnsiTheme="minorHAnsi" w:cstheme="minorHAnsi"/>
                <w:sz w:val="22"/>
                <w:szCs w:val="22"/>
              </w:rPr>
              <w:t>Proponuje się modyfikację akapitu</w:t>
            </w:r>
            <w:r w:rsidR="00E94256">
              <w:rPr>
                <w:rFonts w:asciiTheme="minorHAnsi" w:hAnsiTheme="minorHAnsi" w:cstheme="minorHAnsi"/>
                <w:sz w:val="22"/>
                <w:szCs w:val="22"/>
              </w:rPr>
              <w:t xml:space="preserve"> tak</w:t>
            </w:r>
            <w:r w:rsidR="00137358">
              <w:rPr>
                <w:rFonts w:asciiTheme="minorHAnsi" w:hAnsiTheme="minorHAnsi" w:cstheme="minorHAnsi"/>
                <w:sz w:val="22"/>
                <w:szCs w:val="22"/>
              </w:rPr>
              <w:t>,</w:t>
            </w:r>
            <w:r w:rsidR="00E94256">
              <w:rPr>
                <w:rFonts w:asciiTheme="minorHAnsi" w:hAnsiTheme="minorHAnsi" w:cstheme="minorHAnsi"/>
                <w:sz w:val="22"/>
                <w:szCs w:val="22"/>
              </w:rPr>
              <w:t xml:space="preserve"> aby k</w:t>
            </w:r>
            <w:r w:rsidR="00E94256" w:rsidRPr="00E94256">
              <w:rPr>
                <w:rFonts w:asciiTheme="minorHAnsi" w:hAnsiTheme="minorHAnsi" w:cstheme="minorHAnsi"/>
                <w:sz w:val="22"/>
                <w:szCs w:val="22"/>
              </w:rPr>
              <w:t>ażdy zaint</w:t>
            </w:r>
            <w:r w:rsidR="00E94256">
              <w:rPr>
                <w:rFonts w:asciiTheme="minorHAnsi" w:hAnsiTheme="minorHAnsi" w:cstheme="minorHAnsi"/>
                <w:sz w:val="22"/>
                <w:szCs w:val="22"/>
              </w:rPr>
              <w:t>eresowany użytkownik mógł</w:t>
            </w:r>
            <w:r w:rsidR="00E94256" w:rsidRPr="00E94256">
              <w:rPr>
                <w:rFonts w:asciiTheme="minorHAnsi" w:hAnsiTheme="minorHAnsi" w:cstheme="minorHAnsi"/>
                <w:sz w:val="22"/>
                <w:szCs w:val="22"/>
              </w:rPr>
              <w:t xml:space="preserve"> również wykorzystywać udostępniane przez sektor publiczny informacje w produktach i usługach. Więcej danych będzie mogło również zostać wykorzystane w pracach analitycznych, badaniach czy na potrzeby rozwiązań sztucznej inteligencji</w:t>
            </w:r>
            <w:r>
              <w:rPr>
                <w:rFonts w:asciiTheme="minorHAnsi" w:hAnsiTheme="minorHAnsi" w:cstheme="minorHAnsi"/>
                <w:sz w:val="22"/>
                <w:szCs w:val="22"/>
              </w:rPr>
              <w:t>.</w:t>
            </w:r>
          </w:p>
        </w:tc>
        <w:tc>
          <w:tcPr>
            <w:tcW w:w="5812" w:type="dxa"/>
            <w:shd w:val="clear" w:color="auto" w:fill="auto"/>
          </w:tcPr>
          <w:p w14:paraId="49A5DF20" w14:textId="2A2A857E" w:rsidR="00FD0477" w:rsidRPr="001F1937" w:rsidRDefault="00FD0477" w:rsidP="00FD0477">
            <w:pPr>
              <w:rPr>
                <w:rFonts w:asciiTheme="minorHAnsi" w:hAnsiTheme="minorHAnsi" w:cstheme="minorHAnsi"/>
                <w:sz w:val="22"/>
                <w:szCs w:val="22"/>
              </w:rPr>
            </w:pPr>
            <w:r w:rsidRPr="001F1937">
              <w:rPr>
                <w:rFonts w:asciiTheme="minorHAnsi" w:hAnsiTheme="minorHAnsi" w:cstheme="minorHAnsi"/>
                <w:sz w:val="22"/>
                <w:szCs w:val="22"/>
              </w:rPr>
              <w:t>Proponuje się poniż</w:t>
            </w:r>
            <w:r>
              <w:rPr>
                <w:rFonts w:asciiTheme="minorHAnsi" w:hAnsiTheme="minorHAnsi" w:cstheme="minorHAnsi"/>
                <w:sz w:val="22"/>
                <w:szCs w:val="22"/>
              </w:rPr>
              <w:t>sz</w:t>
            </w:r>
            <w:r w:rsidRPr="001F1937">
              <w:rPr>
                <w:rFonts w:asciiTheme="minorHAnsi" w:hAnsiTheme="minorHAnsi" w:cstheme="minorHAnsi"/>
                <w:sz w:val="22"/>
                <w:szCs w:val="22"/>
              </w:rPr>
              <w:t>e brzmienie:</w:t>
            </w:r>
          </w:p>
          <w:p w14:paraId="3916303C" w14:textId="77777777" w:rsidR="00FC72C6" w:rsidRPr="00FC72C6" w:rsidRDefault="00FC72C6" w:rsidP="00FC72C6">
            <w:pPr>
              <w:rPr>
                <w:rFonts w:asciiTheme="minorHAnsi" w:hAnsiTheme="minorHAnsi" w:cstheme="minorHAnsi"/>
                <w:sz w:val="22"/>
                <w:szCs w:val="22"/>
              </w:rPr>
            </w:pPr>
            <w:r w:rsidRPr="00FC72C6">
              <w:rPr>
                <w:rFonts w:asciiTheme="minorHAnsi" w:hAnsiTheme="minorHAnsi" w:cstheme="minorHAnsi"/>
                <w:sz w:val="22"/>
                <w:szCs w:val="22"/>
              </w:rPr>
              <w:t>Sektor publiczny wytwarza i gromadzi wiele informacji użytecznych z perspektywy szerokiego grona interesariuszy. Dostęp do  informacji sektora publicznego będzie miał wpływ na efektywność działania administracji, jakość życia obywateli, jak również rozwój przedsiębiorstw.</w:t>
            </w:r>
          </w:p>
          <w:p w14:paraId="5803632A" w14:textId="324A60AF" w:rsidR="009A4797" w:rsidRPr="001F1937" w:rsidRDefault="00FC72C6" w:rsidP="00FC72C6">
            <w:pPr>
              <w:rPr>
                <w:rFonts w:asciiTheme="minorHAnsi" w:hAnsiTheme="minorHAnsi" w:cstheme="minorHAnsi"/>
                <w:sz w:val="22"/>
                <w:szCs w:val="22"/>
              </w:rPr>
            </w:pPr>
            <w:r w:rsidRPr="00FC72C6">
              <w:rPr>
                <w:rFonts w:asciiTheme="minorHAnsi" w:hAnsiTheme="minorHAnsi" w:cstheme="minorHAnsi"/>
                <w:sz w:val="22"/>
                <w:szCs w:val="22"/>
              </w:rPr>
              <w:t>Stopień i jakość udostępniania informacji sektora publicznego są niewystarczające. Priorytetem jest zwiększenie ilości i jakości informacji sektora publicznego dostępnych do ponownego wykorzystywania , w tym w szczególności danych</w:t>
            </w:r>
            <w:r w:rsidR="00E94256">
              <w:rPr>
                <w:rFonts w:asciiTheme="minorHAnsi" w:hAnsiTheme="minorHAnsi" w:cstheme="minorHAnsi"/>
                <w:sz w:val="22"/>
                <w:szCs w:val="22"/>
              </w:rPr>
              <w:t xml:space="preserve"> </w:t>
            </w:r>
            <w:r w:rsidRPr="00FC72C6">
              <w:rPr>
                <w:rFonts w:asciiTheme="minorHAnsi" w:hAnsiTheme="minorHAnsi" w:cstheme="minorHAnsi"/>
                <w:sz w:val="22"/>
                <w:szCs w:val="22"/>
              </w:rPr>
              <w:t>o wysokiej wartości oraz danych dynamicznych. W tym kontekście za niezwykle istotne należy uznać stworzenie narzędzi umożliwiających dostęp do informacji sektora publicznego, w tym możliwość dobudowy API do baz/rejestrów z danymi publicznymi. . Większa dostępność i promocja wykorzystania informacji sektora publicznego oraz budowa odpowiednich narzędzi np. analitycznych posłuży efektywnemu zarządzaniu w administracji publicznej, w tym w obszarze zdrowia, sprawiedliwości, bezpieczeństwa, klimatu, ochrony środowiska i kultury oraz usprawni korzystanie z narzędzi informatycznych (np. portali danych). Każdy zainteresowany użytkownik będzie mógł również wykorzystywać udostępniane przez sektor publiczny informacje w produktach i usługach. Więcej danych będzie mogło również zostać wykorzystane w pracach analitycznych, badaniach czy na potrzeby rozwiązań sztucznej inteligencji. Program zakłada  działania zwiększające otwartość oraz poziom ponownego wykorzystania danych znajdujących się w posiadaniu sektora publicznego, w tym danych z zasobów kultury, nauki i administracji, m.in. poprzez realizację badań w zakresie rynku ponownego wykorzyst</w:t>
            </w:r>
            <w:r>
              <w:rPr>
                <w:rFonts w:asciiTheme="minorHAnsi" w:hAnsiTheme="minorHAnsi" w:cstheme="minorHAnsi"/>
                <w:sz w:val="22"/>
                <w:szCs w:val="22"/>
              </w:rPr>
              <w:t>y</w:t>
            </w:r>
            <w:r w:rsidRPr="00FC72C6">
              <w:rPr>
                <w:rFonts w:asciiTheme="minorHAnsi" w:hAnsiTheme="minorHAnsi" w:cstheme="minorHAnsi"/>
                <w:sz w:val="22"/>
                <w:szCs w:val="22"/>
              </w:rPr>
              <w:t xml:space="preserve">wania danych. Wsparcie udzielane będzie także na budowę, rozwój i </w:t>
            </w:r>
            <w:r w:rsidRPr="00FC72C6">
              <w:rPr>
                <w:rFonts w:asciiTheme="minorHAnsi" w:hAnsiTheme="minorHAnsi" w:cstheme="minorHAnsi"/>
                <w:sz w:val="22"/>
                <w:szCs w:val="22"/>
              </w:rPr>
              <w:lastRenderedPageBreak/>
              <w:t>udostępnianie rozwiązań informatycznych do publikowania inf</w:t>
            </w:r>
            <w:r w:rsidR="00E94256">
              <w:rPr>
                <w:rFonts w:asciiTheme="minorHAnsi" w:hAnsiTheme="minorHAnsi" w:cstheme="minorHAnsi"/>
                <w:sz w:val="22"/>
                <w:szCs w:val="22"/>
              </w:rPr>
              <w:t>or</w:t>
            </w:r>
            <w:r w:rsidRPr="00FC72C6">
              <w:rPr>
                <w:rFonts w:asciiTheme="minorHAnsi" w:hAnsiTheme="minorHAnsi" w:cstheme="minorHAnsi"/>
                <w:sz w:val="22"/>
                <w:szCs w:val="22"/>
              </w:rPr>
              <w:t>macji sektora publicznego w celu ponownego wykorzystywania i do prowadzenia zaawansowanej analityki danych z wykorzystaniem nowych technologii.</w:t>
            </w:r>
            <w:r w:rsidR="00FD0477" w:rsidRPr="001F1937">
              <w:rPr>
                <w:rFonts w:asciiTheme="minorHAnsi" w:hAnsiTheme="minorHAnsi" w:cstheme="minorHAnsi"/>
                <w:sz w:val="22"/>
                <w:szCs w:val="22"/>
              </w:rPr>
              <w:t>.”.</w:t>
            </w:r>
          </w:p>
        </w:tc>
        <w:tc>
          <w:tcPr>
            <w:tcW w:w="1359" w:type="dxa"/>
          </w:tcPr>
          <w:p w14:paraId="15002072" w14:textId="77777777" w:rsidR="009A4797" w:rsidRPr="001F1937" w:rsidRDefault="009A4797" w:rsidP="004D086F">
            <w:pPr>
              <w:jc w:val="center"/>
              <w:rPr>
                <w:rFonts w:asciiTheme="minorHAnsi" w:hAnsiTheme="minorHAnsi" w:cstheme="minorHAnsi"/>
                <w:sz w:val="22"/>
                <w:szCs w:val="22"/>
              </w:rPr>
            </w:pPr>
          </w:p>
        </w:tc>
      </w:tr>
      <w:tr w:rsidR="009A4797" w:rsidRPr="001F1937" w14:paraId="787A3874" w14:textId="77777777" w:rsidTr="00A06425">
        <w:tc>
          <w:tcPr>
            <w:tcW w:w="562" w:type="dxa"/>
            <w:shd w:val="clear" w:color="auto" w:fill="auto"/>
          </w:tcPr>
          <w:p w14:paraId="57440F29" w14:textId="5A09D65C" w:rsidR="009A4797" w:rsidRPr="001F1937" w:rsidRDefault="001F1937"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r w:rsidR="00776E0C">
              <w:rPr>
                <w:rFonts w:asciiTheme="minorHAnsi" w:hAnsiTheme="minorHAnsi" w:cstheme="minorHAnsi"/>
                <w:b/>
                <w:sz w:val="22"/>
                <w:szCs w:val="22"/>
              </w:rPr>
              <w:t>3</w:t>
            </w:r>
          </w:p>
        </w:tc>
        <w:tc>
          <w:tcPr>
            <w:tcW w:w="1134" w:type="dxa"/>
            <w:shd w:val="clear" w:color="auto" w:fill="auto"/>
          </w:tcPr>
          <w:p w14:paraId="69067BD9" w14:textId="77777777" w:rsidR="009A4797" w:rsidRPr="001F1937" w:rsidRDefault="009A4797" w:rsidP="004D086F">
            <w:pPr>
              <w:spacing w:before="60" w:after="60"/>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38CA1983" w14:textId="715319B9" w:rsidR="009A4797" w:rsidRPr="001F1937" w:rsidRDefault="009A4797" w:rsidP="005F1DC4">
            <w:pPr>
              <w:rPr>
                <w:rFonts w:asciiTheme="minorHAnsi" w:hAnsiTheme="minorHAnsi" w:cstheme="minorHAnsi"/>
                <w:sz w:val="22"/>
                <w:szCs w:val="22"/>
              </w:rPr>
            </w:pPr>
            <w:r w:rsidRPr="001F1937">
              <w:rPr>
                <w:rFonts w:asciiTheme="minorHAnsi" w:hAnsiTheme="minorHAnsi" w:cstheme="minorHAnsi"/>
                <w:sz w:val="22"/>
                <w:szCs w:val="22"/>
              </w:rPr>
              <w:t>Cyfrowa dostępność i ponowne wykorzystanie informacji przez przedsiębiorstwa str.</w:t>
            </w:r>
            <w:r w:rsidR="0057066B" w:rsidRPr="001F1937">
              <w:rPr>
                <w:rFonts w:asciiTheme="minorHAnsi" w:hAnsiTheme="minorHAnsi" w:cstheme="minorHAnsi"/>
                <w:sz w:val="22"/>
                <w:szCs w:val="22"/>
              </w:rPr>
              <w:t xml:space="preserve"> 8</w:t>
            </w:r>
            <w:r w:rsidR="005F1DC4">
              <w:rPr>
                <w:rFonts w:asciiTheme="minorHAnsi" w:hAnsiTheme="minorHAnsi" w:cstheme="minorHAnsi"/>
                <w:sz w:val="22"/>
                <w:szCs w:val="22"/>
              </w:rPr>
              <w:t>0</w:t>
            </w:r>
          </w:p>
        </w:tc>
        <w:tc>
          <w:tcPr>
            <w:tcW w:w="4678" w:type="dxa"/>
            <w:shd w:val="clear" w:color="auto" w:fill="auto"/>
          </w:tcPr>
          <w:p w14:paraId="375A9FA5" w14:textId="46716A07" w:rsidR="009A4797" w:rsidRPr="001F1937" w:rsidRDefault="005F1DC4" w:rsidP="00137358">
            <w:pPr>
              <w:rPr>
                <w:rFonts w:asciiTheme="minorHAnsi" w:hAnsiTheme="minorHAnsi" w:cstheme="minorHAnsi"/>
                <w:sz w:val="22"/>
                <w:szCs w:val="22"/>
              </w:rPr>
            </w:pPr>
            <w:r>
              <w:rPr>
                <w:rFonts w:asciiTheme="minorHAnsi" w:hAnsiTheme="minorHAnsi" w:cstheme="minorHAnsi"/>
                <w:sz w:val="22"/>
                <w:szCs w:val="22"/>
              </w:rPr>
              <w:t>Proponuje się modyfikację</w:t>
            </w:r>
            <w:r w:rsidR="00FD0477">
              <w:rPr>
                <w:rFonts w:asciiTheme="minorHAnsi" w:hAnsiTheme="minorHAnsi" w:cstheme="minorHAnsi"/>
                <w:sz w:val="22"/>
                <w:szCs w:val="22"/>
              </w:rPr>
              <w:t xml:space="preserve"> </w:t>
            </w:r>
            <w:r>
              <w:rPr>
                <w:rFonts w:asciiTheme="minorHAnsi" w:hAnsiTheme="minorHAnsi" w:cstheme="minorHAnsi"/>
                <w:sz w:val="22"/>
                <w:szCs w:val="22"/>
              </w:rPr>
              <w:t>akapitu</w:t>
            </w:r>
            <w:r w:rsidR="00B236F4">
              <w:rPr>
                <w:rFonts w:asciiTheme="minorHAnsi" w:hAnsiTheme="minorHAnsi" w:cstheme="minorHAnsi"/>
                <w:sz w:val="22"/>
                <w:szCs w:val="22"/>
              </w:rPr>
              <w:t>, w celu zapewnienia poprawności używanych pojęć</w:t>
            </w:r>
            <w:r>
              <w:rPr>
                <w:rFonts w:asciiTheme="minorHAnsi" w:hAnsiTheme="minorHAnsi" w:cstheme="minorHAnsi"/>
                <w:sz w:val="22"/>
                <w:szCs w:val="22"/>
              </w:rPr>
              <w:t>.</w:t>
            </w:r>
          </w:p>
        </w:tc>
        <w:tc>
          <w:tcPr>
            <w:tcW w:w="5812" w:type="dxa"/>
            <w:shd w:val="clear" w:color="auto" w:fill="auto"/>
          </w:tcPr>
          <w:p w14:paraId="6032A20F" w14:textId="5E85C17B" w:rsidR="005F1DC4" w:rsidRPr="001F1937" w:rsidRDefault="005F1DC4" w:rsidP="005F1DC4">
            <w:pPr>
              <w:rPr>
                <w:rFonts w:asciiTheme="minorHAnsi" w:hAnsiTheme="minorHAnsi" w:cstheme="minorHAnsi"/>
                <w:sz w:val="22"/>
                <w:szCs w:val="22"/>
              </w:rPr>
            </w:pPr>
            <w:r w:rsidRPr="001F1937">
              <w:rPr>
                <w:rFonts w:asciiTheme="minorHAnsi" w:hAnsiTheme="minorHAnsi" w:cstheme="minorHAnsi"/>
                <w:sz w:val="22"/>
                <w:szCs w:val="22"/>
              </w:rPr>
              <w:t>Proponuje się poniższe brzmienie:</w:t>
            </w:r>
          </w:p>
          <w:p w14:paraId="2AAB6000" w14:textId="348A6C52" w:rsidR="009A4797" w:rsidRPr="001F1937" w:rsidRDefault="005F1DC4" w:rsidP="00916286">
            <w:pPr>
              <w:rPr>
                <w:rFonts w:asciiTheme="minorHAnsi" w:hAnsiTheme="minorHAnsi" w:cstheme="minorHAnsi"/>
                <w:sz w:val="22"/>
                <w:szCs w:val="22"/>
              </w:rPr>
            </w:pPr>
            <w:r>
              <w:rPr>
                <w:rFonts w:asciiTheme="minorHAnsi" w:hAnsiTheme="minorHAnsi" w:cstheme="minorHAnsi"/>
                <w:sz w:val="22"/>
                <w:szCs w:val="22"/>
              </w:rPr>
              <w:t>„</w:t>
            </w:r>
            <w:r w:rsidRPr="001F1937">
              <w:rPr>
                <w:rFonts w:asciiTheme="minorHAnsi" w:hAnsiTheme="minorHAnsi" w:cstheme="minorHAnsi"/>
                <w:sz w:val="22"/>
                <w:szCs w:val="22"/>
              </w:rPr>
              <w:t>Swobodny dostęp oraz wykorzystanie danych publicznych i prywatnych przyczyni się do rozwoju przedsiębiorstw i wzrostu ich konkurencyjności. Istotnym czynnikiem wzrostu gospodarczego może być zapewnienie dostępu w szczególności do dynamicznych zbiorów danych za pośrednictwem interfejsów programistycznych aplikacji. (…)”.</w:t>
            </w:r>
          </w:p>
        </w:tc>
        <w:tc>
          <w:tcPr>
            <w:tcW w:w="1359" w:type="dxa"/>
          </w:tcPr>
          <w:p w14:paraId="0B8E986D" w14:textId="77777777" w:rsidR="009A4797" w:rsidRPr="001F1937" w:rsidRDefault="009A4797" w:rsidP="004D086F">
            <w:pPr>
              <w:jc w:val="center"/>
              <w:rPr>
                <w:rFonts w:asciiTheme="minorHAnsi" w:hAnsiTheme="minorHAnsi" w:cstheme="minorHAnsi"/>
                <w:sz w:val="22"/>
                <w:szCs w:val="22"/>
              </w:rPr>
            </w:pPr>
          </w:p>
        </w:tc>
      </w:tr>
      <w:tr w:rsidR="007771B4" w:rsidRPr="001F1937" w14:paraId="1AE7F5B7" w14:textId="77777777" w:rsidTr="00A06425">
        <w:tc>
          <w:tcPr>
            <w:tcW w:w="562" w:type="dxa"/>
            <w:shd w:val="clear" w:color="auto" w:fill="auto"/>
          </w:tcPr>
          <w:p w14:paraId="03D4B673" w14:textId="07FD69E2" w:rsidR="007771B4" w:rsidRPr="001F1937" w:rsidRDefault="001F1937" w:rsidP="007771B4">
            <w:pPr>
              <w:rPr>
                <w:rFonts w:asciiTheme="minorHAnsi" w:hAnsiTheme="minorHAnsi" w:cstheme="minorHAnsi"/>
                <w:b/>
                <w:sz w:val="22"/>
                <w:szCs w:val="22"/>
              </w:rPr>
            </w:pPr>
            <w:r>
              <w:rPr>
                <w:rFonts w:asciiTheme="minorHAnsi" w:hAnsiTheme="minorHAnsi" w:cstheme="minorHAnsi"/>
                <w:b/>
                <w:sz w:val="22"/>
                <w:szCs w:val="22"/>
              </w:rPr>
              <w:t>2</w:t>
            </w:r>
            <w:r w:rsidR="00776E0C">
              <w:rPr>
                <w:rFonts w:asciiTheme="minorHAnsi" w:hAnsiTheme="minorHAnsi" w:cstheme="minorHAnsi"/>
                <w:b/>
                <w:sz w:val="22"/>
                <w:szCs w:val="22"/>
              </w:rPr>
              <w:t>4</w:t>
            </w:r>
          </w:p>
        </w:tc>
        <w:tc>
          <w:tcPr>
            <w:tcW w:w="1134" w:type="dxa"/>
            <w:shd w:val="clear" w:color="auto" w:fill="auto"/>
          </w:tcPr>
          <w:p w14:paraId="12681A72" w14:textId="77777777" w:rsidR="007771B4" w:rsidRPr="001F1937" w:rsidRDefault="007771B4" w:rsidP="00F619D7">
            <w:pPr>
              <w:jc w:val="center"/>
              <w:rPr>
                <w:rFonts w:asciiTheme="minorHAnsi" w:hAnsiTheme="minorHAnsi" w:cstheme="minorHAnsi"/>
                <w:b/>
                <w:sz w:val="22"/>
                <w:szCs w:val="22"/>
              </w:rPr>
            </w:pPr>
            <w:r w:rsidRPr="001F1937">
              <w:rPr>
                <w:rFonts w:asciiTheme="minorHAnsi" w:hAnsiTheme="minorHAnsi" w:cstheme="minorHAnsi"/>
                <w:b/>
                <w:sz w:val="22"/>
                <w:szCs w:val="22"/>
              </w:rPr>
              <w:t>MC</w:t>
            </w:r>
          </w:p>
        </w:tc>
        <w:tc>
          <w:tcPr>
            <w:tcW w:w="1843" w:type="dxa"/>
            <w:shd w:val="clear" w:color="auto" w:fill="auto"/>
          </w:tcPr>
          <w:p w14:paraId="3ECB3186" w14:textId="4B2BF630" w:rsidR="007771B4" w:rsidRPr="001F1937" w:rsidRDefault="007771B4" w:rsidP="007771B4">
            <w:pPr>
              <w:rPr>
                <w:rFonts w:asciiTheme="minorHAnsi" w:hAnsiTheme="minorHAnsi" w:cstheme="minorHAnsi"/>
                <w:sz w:val="22"/>
                <w:szCs w:val="22"/>
              </w:rPr>
            </w:pPr>
            <w:r w:rsidRPr="001F1937">
              <w:rPr>
                <w:rFonts w:asciiTheme="minorHAnsi" w:hAnsiTheme="minorHAnsi" w:cstheme="minorHAnsi"/>
                <w:sz w:val="22"/>
                <w:szCs w:val="22"/>
              </w:rPr>
              <w:t xml:space="preserve">Zał. </w:t>
            </w:r>
            <w:r w:rsidR="003742AC">
              <w:rPr>
                <w:rFonts w:asciiTheme="minorHAnsi" w:hAnsiTheme="minorHAnsi" w:cstheme="minorHAnsi"/>
                <w:sz w:val="22"/>
                <w:szCs w:val="22"/>
              </w:rPr>
              <w:t xml:space="preserve">nr </w:t>
            </w:r>
            <w:r w:rsidRPr="001F1937">
              <w:rPr>
                <w:rFonts w:asciiTheme="minorHAnsi" w:hAnsiTheme="minorHAnsi" w:cstheme="minorHAnsi"/>
                <w:sz w:val="22"/>
                <w:szCs w:val="22"/>
              </w:rPr>
              <w:t>2 do projektu programu FERC, str. 84-85</w:t>
            </w:r>
          </w:p>
        </w:tc>
        <w:tc>
          <w:tcPr>
            <w:tcW w:w="4678" w:type="dxa"/>
            <w:shd w:val="clear" w:color="auto" w:fill="auto"/>
          </w:tcPr>
          <w:p w14:paraId="1437BEAB" w14:textId="77777777" w:rsidR="007771B4" w:rsidRPr="001F1937" w:rsidRDefault="007771B4" w:rsidP="007771B4">
            <w:pPr>
              <w:rPr>
                <w:rFonts w:asciiTheme="minorHAnsi" w:hAnsiTheme="minorHAnsi" w:cstheme="minorHAnsi"/>
                <w:sz w:val="22"/>
                <w:szCs w:val="22"/>
              </w:rPr>
            </w:pPr>
            <w:r w:rsidRPr="001F1937">
              <w:rPr>
                <w:rFonts w:asciiTheme="minorHAnsi" w:hAnsiTheme="minorHAnsi" w:cstheme="minorHAnsi"/>
                <w:sz w:val="22"/>
                <w:szCs w:val="22"/>
              </w:rPr>
              <w:t xml:space="preserve">Biorąc pod uwagę analizę przygotowaną przez Urząd Komunikacji Elektronicznej dotyczącą kosztów objęcia punktów adresowych na obszarach, na których nie można korzystać z dostępu do internetu o przepustowości co najmniej 30 Mb/s, w ramach FERC, podobnie jak w przypadku KPO, współfinansowane powinny być projekty umożliwiające jak najszerszy dostęp do szerokopasmowego internetu, przy jak najwyższych parametrach technicznych, realizowane przede wszystkim na ww. obszarach. </w:t>
            </w:r>
          </w:p>
        </w:tc>
        <w:tc>
          <w:tcPr>
            <w:tcW w:w="5812" w:type="dxa"/>
            <w:shd w:val="clear" w:color="auto" w:fill="auto"/>
          </w:tcPr>
          <w:p w14:paraId="399A698F" w14:textId="7E167D02" w:rsidR="007771B4" w:rsidRPr="001F1937" w:rsidRDefault="007771B4" w:rsidP="007771B4">
            <w:pPr>
              <w:rPr>
                <w:rFonts w:asciiTheme="minorHAnsi" w:hAnsiTheme="minorHAnsi" w:cstheme="minorHAnsi"/>
                <w:sz w:val="22"/>
                <w:szCs w:val="22"/>
              </w:rPr>
            </w:pPr>
          </w:p>
        </w:tc>
        <w:tc>
          <w:tcPr>
            <w:tcW w:w="1359" w:type="dxa"/>
          </w:tcPr>
          <w:p w14:paraId="73D058B4" w14:textId="77777777" w:rsidR="007771B4" w:rsidRPr="001F1937" w:rsidRDefault="007771B4" w:rsidP="007771B4">
            <w:pPr>
              <w:jc w:val="center"/>
              <w:rPr>
                <w:rFonts w:asciiTheme="minorHAnsi" w:hAnsiTheme="minorHAnsi" w:cstheme="minorHAnsi"/>
                <w:sz w:val="22"/>
                <w:szCs w:val="22"/>
              </w:rPr>
            </w:pPr>
          </w:p>
        </w:tc>
      </w:tr>
    </w:tbl>
    <w:p w14:paraId="4FCA3EED" w14:textId="77777777" w:rsidR="00C64B1B" w:rsidRPr="001F1937" w:rsidRDefault="00C64B1B" w:rsidP="00C64B1B">
      <w:pPr>
        <w:jc w:val="center"/>
        <w:rPr>
          <w:rFonts w:asciiTheme="minorHAnsi" w:hAnsiTheme="minorHAnsi" w:cstheme="minorHAnsi"/>
          <w:sz w:val="22"/>
          <w:szCs w:val="22"/>
        </w:rPr>
      </w:pPr>
    </w:p>
    <w:sectPr w:rsidR="00C64B1B" w:rsidRPr="001F1937" w:rsidSect="004B660B">
      <w:pgSz w:w="16838" w:h="11906" w:orient="landscape"/>
      <w:pgMar w:top="720" w:right="720" w:bottom="426"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5A92A" w14:textId="77777777" w:rsidR="007D08C8" w:rsidRDefault="007D08C8" w:rsidP="00852EB5">
      <w:r>
        <w:separator/>
      </w:r>
    </w:p>
  </w:endnote>
  <w:endnote w:type="continuationSeparator" w:id="0">
    <w:p w14:paraId="4F048618" w14:textId="77777777" w:rsidR="007D08C8" w:rsidRDefault="007D08C8" w:rsidP="00852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1A739" w14:textId="77777777" w:rsidR="007D08C8" w:rsidRDefault="007D08C8" w:rsidP="00852EB5">
      <w:r>
        <w:separator/>
      </w:r>
    </w:p>
  </w:footnote>
  <w:footnote w:type="continuationSeparator" w:id="0">
    <w:p w14:paraId="6472DD34" w14:textId="77777777" w:rsidR="007D08C8" w:rsidRDefault="007D08C8" w:rsidP="00852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F6674"/>
    <w:multiLevelType w:val="hybridMultilevel"/>
    <w:tmpl w:val="893C2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346834"/>
    <w:multiLevelType w:val="hybridMultilevel"/>
    <w:tmpl w:val="A1E2F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3224C2D"/>
    <w:multiLevelType w:val="hybridMultilevel"/>
    <w:tmpl w:val="32A8B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5289D"/>
    <w:rsid w:val="000638A0"/>
    <w:rsid w:val="000C3368"/>
    <w:rsid w:val="000F3B9A"/>
    <w:rsid w:val="001166CB"/>
    <w:rsid w:val="00137358"/>
    <w:rsid w:val="00140BE8"/>
    <w:rsid w:val="0017496D"/>
    <w:rsid w:val="00182934"/>
    <w:rsid w:val="0019648E"/>
    <w:rsid w:val="001A1952"/>
    <w:rsid w:val="001A2E8B"/>
    <w:rsid w:val="001B72E9"/>
    <w:rsid w:val="001D61D9"/>
    <w:rsid w:val="001F1937"/>
    <w:rsid w:val="00206264"/>
    <w:rsid w:val="002524AB"/>
    <w:rsid w:val="002715B2"/>
    <w:rsid w:val="0028726E"/>
    <w:rsid w:val="002C2E4D"/>
    <w:rsid w:val="002C5280"/>
    <w:rsid w:val="002C5CA7"/>
    <w:rsid w:val="002D0C92"/>
    <w:rsid w:val="00307BC0"/>
    <w:rsid w:val="0031236C"/>
    <w:rsid w:val="003124D1"/>
    <w:rsid w:val="00330B30"/>
    <w:rsid w:val="003609B1"/>
    <w:rsid w:val="003742AC"/>
    <w:rsid w:val="0039143F"/>
    <w:rsid w:val="003B4105"/>
    <w:rsid w:val="003E0FBE"/>
    <w:rsid w:val="0044568D"/>
    <w:rsid w:val="004532F9"/>
    <w:rsid w:val="004677F6"/>
    <w:rsid w:val="004B57FC"/>
    <w:rsid w:val="004B660B"/>
    <w:rsid w:val="004D086F"/>
    <w:rsid w:val="0056207A"/>
    <w:rsid w:val="0056284E"/>
    <w:rsid w:val="0057066B"/>
    <w:rsid w:val="005C5CAF"/>
    <w:rsid w:val="005F1DC4"/>
    <w:rsid w:val="005F6527"/>
    <w:rsid w:val="00641BD0"/>
    <w:rsid w:val="00645C6B"/>
    <w:rsid w:val="006705EC"/>
    <w:rsid w:val="006A18C2"/>
    <w:rsid w:val="006B2408"/>
    <w:rsid w:val="006E16E9"/>
    <w:rsid w:val="00710A8A"/>
    <w:rsid w:val="00733E8B"/>
    <w:rsid w:val="00776E0C"/>
    <w:rsid w:val="007771B4"/>
    <w:rsid w:val="007854AE"/>
    <w:rsid w:val="007B49B9"/>
    <w:rsid w:val="007D08C8"/>
    <w:rsid w:val="00807385"/>
    <w:rsid w:val="008176E4"/>
    <w:rsid w:val="0084080C"/>
    <w:rsid w:val="0085150F"/>
    <w:rsid w:val="00852EB5"/>
    <w:rsid w:val="0088365C"/>
    <w:rsid w:val="008A3D6E"/>
    <w:rsid w:val="008E6BEA"/>
    <w:rsid w:val="008F6EF8"/>
    <w:rsid w:val="00913C41"/>
    <w:rsid w:val="00916286"/>
    <w:rsid w:val="00931715"/>
    <w:rsid w:val="00944932"/>
    <w:rsid w:val="009569A4"/>
    <w:rsid w:val="009A4797"/>
    <w:rsid w:val="009C426D"/>
    <w:rsid w:val="009E5FDB"/>
    <w:rsid w:val="00A06425"/>
    <w:rsid w:val="00A81209"/>
    <w:rsid w:val="00AC20D5"/>
    <w:rsid w:val="00AC5670"/>
    <w:rsid w:val="00AC7796"/>
    <w:rsid w:val="00B236F4"/>
    <w:rsid w:val="00B5050D"/>
    <w:rsid w:val="00B871B6"/>
    <w:rsid w:val="00C0619E"/>
    <w:rsid w:val="00C64B1B"/>
    <w:rsid w:val="00CD5EB0"/>
    <w:rsid w:val="00D70AFE"/>
    <w:rsid w:val="00D72134"/>
    <w:rsid w:val="00DE373C"/>
    <w:rsid w:val="00E14C33"/>
    <w:rsid w:val="00E27E46"/>
    <w:rsid w:val="00E3279A"/>
    <w:rsid w:val="00E61728"/>
    <w:rsid w:val="00E63190"/>
    <w:rsid w:val="00E94256"/>
    <w:rsid w:val="00E96749"/>
    <w:rsid w:val="00EE3890"/>
    <w:rsid w:val="00F619D7"/>
    <w:rsid w:val="00F6485A"/>
    <w:rsid w:val="00FC72C6"/>
    <w:rsid w:val="00FD0477"/>
    <w:rsid w:val="00FF6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C9190"/>
  <w15:docId w15:val="{C81F3E7D-7EDC-4AD0-A872-C8E7683A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2">
    <w:name w:val="heading 2"/>
    <w:basedOn w:val="Normalny"/>
    <w:next w:val="Normalny"/>
    <w:link w:val="Nagwek2Znak"/>
    <w:semiHidden/>
    <w:unhideWhenUsed/>
    <w:qFormat/>
    <w:rsid w:val="000F3B9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4">
    <w:name w:val="heading 4"/>
    <w:basedOn w:val="Normalny"/>
    <w:next w:val="Normalny"/>
    <w:link w:val="Nagwek4Znak"/>
    <w:semiHidden/>
    <w:unhideWhenUsed/>
    <w:qFormat/>
    <w:rsid w:val="004532F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0F3B9A"/>
    <w:rPr>
      <w:rFonts w:asciiTheme="majorHAnsi" w:eastAsiaTheme="majorEastAsia" w:hAnsiTheme="majorHAnsi" w:cstheme="majorBidi"/>
      <w:b/>
      <w:bCs/>
      <w:color w:val="5B9BD5" w:themeColor="accent1"/>
      <w:sz w:val="26"/>
      <w:szCs w:val="26"/>
    </w:rPr>
  </w:style>
  <w:style w:type="character" w:styleId="Hipercze">
    <w:name w:val="Hyperlink"/>
    <w:basedOn w:val="Domylnaczcionkaakapitu"/>
    <w:unhideWhenUsed/>
    <w:rsid w:val="00E63190"/>
    <w:rPr>
      <w:color w:val="0563C1" w:themeColor="hyperlink"/>
      <w:u w:val="single"/>
    </w:rPr>
  </w:style>
  <w:style w:type="paragraph" w:styleId="Akapitzlist">
    <w:name w:val="List Paragraph"/>
    <w:basedOn w:val="Normalny"/>
    <w:uiPriority w:val="34"/>
    <w:qFormat/>
    <w:rsid w:val="004532F9"/>
    <w:pPr>
      <w:ind w:left="720"/>
      <w:contextualSpacing/>
    </w:pPr>
  </w:style>
  <w:style w:type="character" w:customStyle="1" w:styleId="Nagwek4Znak">
    <w:name w:val="Nagłówek 4 Znak"/>
    <w:basedOn w:val="Domylnaczcionkaakapitu"/>
    <w:link w:val="Nagwek4"/>
    <w:semiHidden/>
    <w:rsid w:val="004532F9"/>
    <w:rPr>
      <w:rFonts w:asciiTheme="majorHAnsi" w:eastAsiaTheme="majorEastAsia" w:hAnsiTheme="majorHAnsi" w:cstheme="majorBidi"/>
      <w:i/>
      <w:iCs/>
      <w:color w:val="2E74B5" w:themeColor="accent1" w:themeShade="BF"/>
      <w:sz w:val="24"/>
      <w:szCs w:val="24"/>
    </w:rPr>
  </w:style>
  <w:style w:type="character" w:styleId="Odwoaniedokomentarza">
    <w:name w:val="annotation reference"/>
    <w:basedOn w:val="Domylnaczcionkaakapitu"/>
    <w:semiHidden/>
    <w:unhideWhenUsed/>
    <w:rsid w:val="002524AB"/>
    <w:rPr>
      <w:sz w:val="16"/>
      <w:szCs w:val="16"/>
    </w:rPr>
  </w:style>
  <w:style w:type="paragraph" w:styleId="Tekstkomentarza">
    <w:name w:val="annotation text"/>
    <w:basedOn w:val="Normalny"/>
    <w:link w:val="TekstkomentarzaZnak"/>
    <w:semiHidden/>
    <w:unhideWhenUsed/>
    <w:rsid w:val="002524AB"/>
    <w:rPr>
      <w:sz w:val="20"/>
      <w:szCs w:val="20"/>
    </w:rPr>
  </w:style>
  <w:style w:type="character" w:customStyle="1" w:styleId="TekstkomentarzaZnak">
    <w:name w:val="Tekst komentarza Znak"/>
    <w:basedOn w:val="Domylnaczcionkaakapitu"/>
    <w:link w:val="Tekstkomentarza"/>
    <w:semiHidden/>
    <w:rsid w:val="002524AB"/>
  </w:style>
  <w:style w:type="paragraph" w:styleId="Tematkomentarza">
    <w:name w:val="annotation subject"/>
    <w:basedOn w:val="Tekstkomentarza"/>
    <w:next w:val="Tekstkomentarza"/>
    <w:link w:val="TematkomentarzaZnak"/>
    <w:semiHidden/>
    <w:unhideWhenUsed/>
    <w:rsid w:val="002524AB"/>
    <w:rPr>
      <w:b/>
      <w:bCs/>
    </w:rPr>
  </w:style>
  <w:style w:type="character" w:customStyle="1" w:styleId="TematkomentarzaZnak">
    <w:name w:val="Temat komentarza Znak"/>
    <w:basedOn w:val="TekstkomentarzaZnak"/>
    <w:link w:val="Tematkomentarza"/>
    <w:semiHidden/>
    <w:rsid w:val="002524AB"/>
    <w:rPr>
      <w:b/>
      <w:bCs/>
    </w:rPr>
  </w:style>
  <w:style w:type="paragraph" w:styleId="Tekstprzypisukocowego">
    <w:name w:val="endnote text"/>
    <w:basedOn w:val="Normalny"/>
    <w:link w:val="TekstprzypisukocowegoZnak"/>
    <w:semiHidden/>
    <w:unhideWhenUsed/>
    <w:rsid w:val="00776E0C"/>
    <w:rPr>
      <w:sz w:val="20"/>
      <w:szCs w:val="20"/>
    </w:rPr>
  </w:style>
  <w:style w:type="character" w:customStyle="1" w:styleId="TekstprzypisukocowegoZnak">
    <w:name w:val="Tekst przypisu końcowego Znak"/>
    <w:basedOn w:val="Domylnaczcionkaakapitu"/>
    <w:link w:val="Tekstprzypisukocowego"/>
    <w:semiHidden/>
    <w:rsid w:val="00776E0C"/>
  </w:style>
  <w:style w:type="character" w:styleId="Odwoanieprzypisukocowego">
    <w:name w:val="endnote reference"/>
    <w:basedOn w:val="Domylnaczcionkaakapitu"/>
    <w:semiHidden/>
    <w:unhideWhenUsed/>
    <w:rsid w:val="00776E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8241">
      <w:bodyDiv w:val="1"/>
      <w:marLeft w:val="0"/>
      <w:marRight w:val="0"/>
      <w:marTop w:val="0"/>
      <w:marBottom w:val="0"/>
      <w:divBdr>
        <w:top w:val="none" w:sz="0" w:space="0" w:color="auto"/>
        <w:left w:val="none" w:sz="0" w:space="0" w:color="auto"/>
        <w:bottom w:val="none" w:sz="0" w:space="0" w:color="auto"/>
        <w:right w:val="none" w:sz="0" w:space="0" w:color="auto"/>
      </w:divBdr>
    </w:div>
    <w:div w:id="391583768">
      <w:bodyDiv w:val="1"/>
      <w:marLeft w:val="0"/>
      <w:marRight w:val="0"/>
      <w:marTop w:val="0"/>
      <w:marBottom w:val="0"/>
      <w:divBdr>
        <w:top w:val="none" w:sz="0" w:space="0" w:color="auto"/>
        <w:left w:val="none" w:sz="0" w:space="0" w:color="auto"/>
        <w:bottom w:val="none" w:sz="0" w:space="0" w:color="auto"/>
        <w:right w:val="none" w:sz="0" w:space="0" w:color="auto"/>
      </w:divBdr>
    </w:div>
    <w:div w:id="547179572">
      <w:bodyDiv w:val="1"/>
      <w:marLeft w:val="0"/>
      <w:marRight w:val="0"/>
      <w:marTop w:val="0"/>
      <w:marBottom w:val="0"/>
      <w:divBdr>
        <w:top w:val="none" w:sz="0" w:space="0" w:color="auto"/>
        <w:left w:val="none" w:sz="0" w:space="0" w:color="auto"/>
        <w:bottom w:val="none" w:sz="0" w:space="0" w:color="auto"/>
        <w:right w:val="none" w:sz="0" w:space="0" w:color="auto"/>
      </w:divBdr>
    </w:div>
    <w:div w:id="679814857">
      <w:bodyDiv w:val="1"/>
      <w:marLeft w:val="0"/>
      <w:marRight w:val="0"/>
      <w:marTop w:val="0"/>
      <w:marBottom w:val="0"/>
      <w:divBdr>
        <w:top w:val="none" w:sz="0" w:space="0" w:color="auto"/>
        <w:left w:val="none" w:sz="0" w:space="0" w:color="auto"/>
        <w:bottom w:val="none" w:sz="0" w:space="0" w:color="auto"/>
        <w:right w:val="none" w:sz="0" w:space="0" w:color="auto"/>
      </w:divBdr>
    </w:div>
    <w:div w:id="1101994795">
      <w:bodyDiv w:val="1"/>
      <w:marLeft w:val="0"/>
      <w:marRight w:val="0"/>
      <w:marTop w:val="0"/>
      <w:marBottom w:val="0"/>
      <w:divBdr>
        <w:top w:val="none" w:sz="0" w:space="0" w:color="auto"/>
        <w:left w:val="none" w:sz="0" w:space="0" w:color="auto"/>
        <w:bottom w:val="none" w:sz="0" w:space="0" w:color="auto"/>
        <w:right w:val="none" w:sz="0" w:space="0" w:color="auto"/>
      </w:divBdr>
    </w:div>
    <w:div w:id="158630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digital-strategy.ec.europa.eu/en/policies/desi-pol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2938</Words>
  <Characters>17632</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Witkowska-Krzymowska Magdalena</cp:lastModifiedBy>
  <cp:revision>17</cp:revision>
  <dcterms:created xsi:type="dcterms:W3CDTF">2021-12-01T23:12:00Z</dcterms:created>
  <dcterms:modified xsi:type="dcterms:W3CDTF">2021-12-03T07:11:00Z</dcterms:modified>
</cp:coreProperties>
</file>